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B75C" w14:textId="76C8EE78" w:rsidR="00C176AF" w:rsidRDefault="009326CB" w:rsidP="00221BB3">
      <w:pPr>
        <w:spacing w:before="480" w:after="240"/>
        <w:ind w:left="0"/>
        <w:jc w:val="right"/>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noProof/>
          <w:color w:val="005EB8" w:themeColor="accent2"/>
          <w:spacing w:val="-10"/>
          <w:kern w:val="28"/>
          <w:sz w:val="56"/>
          <w:szCs w:val="56"/>
        </w:rPr>
        <w:drawing>
          <wp:inline distT="0" distB="0" distL="0" distR="0" wp14:anchorId="15716A28" wp14:editId="1C8E4F2F">
            <wp:extent cx="1814968" cy="935551"/>
            <wp:effectExtent l="0" t="0" r="0" b="0"/>
            <wp:docPr id="9747203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20397"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821146" cy="938736"/>
                    </a:xfrm>
                    <a:prstGeom prst="rect">
                      <a:avLst/>
                    </a:prstGeom>
                  </pic:spPr>
                </pic:pic>
              </a:graphicData>
            </a:graphic>
          </wp:inline>
        </w:drawing>
      </w:r>
    </w:p>
    <w:p w14:paraId="3588C022"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BBFC8AB"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DB30BBF"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8EDA51F" w14:textId="77777777" w:rsidR="009326CB" w:rsidRDefault="009326CB" w:rsidP="6D9D960F">
      <w:pPr>
        <w:spacing w:before="480" w:after="240"/>
        <w:ind w:left="0"/>
        <w:rPr>
          <w:rFonts w:asciiTheme="majorHAnsi" w:eastAsiaTheme="majorEastAsia" w:hAnsiTheme="majorHAnsi" w:cstheme="majorBidi"/>
          <w:b/>
          <w:color w:val="005EB8" w:themeColor="accent2"/>
          <w:spacing w:val="-10"/>
          <w:kern w:val="28"/>
          <w:sz w:val="56"/>
          <w:szCs w:val="56"/>
        </w:rPr>
      </w:pPr>
    </w:p>
    <w:p w14:paraId="5B373566" w14:textId="77777777" w:rsidR="009326CB" w:rsidRDefault="009326CB" w:rsidP="6D9D960F">
      <w:pPr>
        <w:spacing w:before="480" w:after="240"/>
        <w:ind w:left="0"/>
        <w:rPr>
          <w:rFonts w:asciiTheme="majorHAnsi" w:eastAsiaTheme="majorEastAsia" w:hAnsiTheme="majorHAnsi" w:cstheme="majorBidi"/>
          <w:b/>
          <w:color w:val="005EB8" w:themeColor="accent2"/>
          <w:spacing w:val="-10"/>
          <w:kern w:val="28"/>
          <w:sz w:val="56"/>
          <w:szCs w:val="56"/>
        </w:rPr>
      </w:pPr>
    </w:p>
    <w:p w14:paraId="1E96FDEC" w14:textId="5FE47A5D" w:rsidR="00D23448" w:rsidRDefault="00D23448" w:rsidP="6D9D960F">
      <w:pPr>
        <w:spacing w:before="480" w:after="240"/>
        <w:ind w:left="0"/>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color w:val="005EB8" w:themeColor="accent2"/>
          <w:spacing w:val="-10"/>
          <w:kern w:val="28"/>
          <w:sz w:val="56"/>
          <w:szCs w:val="56"/>
        </w:rPr>
        <w:t>P</w:t>
      </w:r>
      <w:r w:rsidR="00D40C2B">
        <w:rPr>
          <w:rFonts w:asciiTheme="majorHAnsi" w:eastAsiaTheme="majorEastAsia" w:hAnsiTheme="majorHAnsi" w:cstheme="majorBidi"/>
          <w:b/>
          <w:color w:val="005EB8" w:themeColor="accent2"/>
          <w:spacing w:val="-10"/>
          <w:kern w:val="28"/>
          <w:sz w:val="56"/>
          <w:szCs w:val="56"/>
        </w:rPr>
        <w:t>a</w:t>
      </w:r>
      <w:r>
        <w:rPr>
          <w:rFonts w:asciiTheme="majorHAnsi" w:eastAsiaTheme="majorEastAsia" w:hAnsiTheme="majorHAnsi" w:cstheme="majorBidi"/>
          <w:b/>
          <w:color w:val="005EB8" w:themeColor="accent2"/>
          <w:spacing w:val="-10"/>
          <w:kern w:val="28"/>
          <w:sz w:val="56"/>
          <w:szCs w:val="56"/>
        </w:rPr>
        <w:t>t</w:t>
      </w:r>
      <w:r w:rsidR="00D40C2B">
        <w:rPr>
          <w:rFonts w:asciiTheme="majorHAnsi" w:eastAsiaTheme="majorEastAsia" w:hAnsiTheme="majorHAnsi" w:cstheme="majorBidi"/>
          <w:b/>
          <w:color w:val="005EB8" w:themeColor="accent2"/>
          <w:spacing w:val="-10"/>
          <w:kern w:val="28"/>
          <w:sz w:val="56"/>
          <w:szCs w:val="56"/>
        </w:rPr>
        <w:t>ient Choice Policy</w:t>
      </w:r>
    </w:p>
    <w:p w14:paraId="0E7CA7E4" w14:textId="77777777" w:rsidR="009326CB" w:rsidRDefault="009326CB" w:rsidP="6D9D960F">
      <w:pPr>
        <w:spacing w:before="480" w:after="240"/>
        <w:ind w:left="0"/>
        <w:rPr>
          <w:rFonts w:asciiTheme="majorHAnsi" w:eastAsiaTheme="majorEastAsia" w:hAnsiTheme="majorHAnsi" w:cstheme="majorBidi"/>
          <w:b/>
          <w:bCs/>
          <w:color w:val="005EB8" w:themeColor="accent2"/>
          <w:spacing w:val="-10"/>
          <w:kern w:val="28"/>
          <w:sz w:val="56"/>
          <w:szCs w:val="56"/>
        </w:rPr>
      </w:pPr>
    </w:p>
    <w:p w14:paraId="677217F2" w14:textId="203371D1" w:rsidR="008D65A4" w:rsidRDefault="69F2DC28" w:rsidP="6D9D960F">
      <w:pPr>
        <w:spacing w:before="480" w:after="240"/>
        <w:ind w:left="0"/>
        <w:rPr>
          <w:rFonts w:asciiTheme="majorHAnsi" w:eastAsiaTheme="majorEastAsia" w:hAnsiTheme="majorHAnsi" w:cstheme="majorBidi"/>
          <w:b/>
          <w:bCs/>
          <w:color w:val="005EB8" w:themeColor="accent2"/>
          <w:spacing w:val="-10"/>
          <w:kern w:val="28"/>
          <w:sz w:val="56"/>
          <w:szCs w:val="56"/>
          <w:highlight w:val="yellow"/>
        </w:rPr>
      </w:pPr>
      <w:r w:rsidRPr="6D9D960F">
        <w:rPr>
          <w:rFonts w:asciiTheme="majorHAnsi" w:eastAsiaTheme="majorEastAsia" w:hAnsiTheme="majorHAnsi" w:cstheme="majorBidi"/>
          <w:b/>
          <w:bCs/>
          <w:color w:val="005EB8" w:themeColor="accent2"/>
          <w:spacing w:val="-10"/>
          <w:kern w:val="28"/>
          <w:sz w:val="56"/>
          <w:szCs w:val="56"/>
        </w:rPr>
        <w:t>Policy</w:t>
      </w:r>
      <w:r w:rsidR="7BA696EA" w:rsidRPr="6D9D960F">
        <w:rPr>
          <w:rFonts w:asciiTheme="majorHAnsi" w:eastAsiaTheme="majorEastAsia" w:hAnsiTheme="majorHAnsi" w:cstheme="majorBidi"/>
          <w:b/>
          <w:bCs/>
          <w:color w:val="005EB8" w:themeColor="accent2"/>
          <w:spacing w:val="-10"/>
          <w:kern w:val="28"/>
          <w:sz w:val="56"/>
          <w:szCs w:val="56"/>
        </w:rPr>
        <w:t xml:space="preserve"> No: </w:t>
      </w:r>
      <w:r w:rsidR="009326CB">
        <w:rPr>
          <w:rFonts w:asciiTheme="majorHAnsi" w:eastAsiaTheme="majorEastAsia" w:hAnsiTheme="majorHAnsi" w:cstheme="majorBidi"/>
          <w:b/>
          <w:bCs/>
          <w:color w:val="005EB8" w:themeColor="accent2"/>
          <w:spacing w:val="-10"/>
          <w:kern w:val="28"/>
          <w:sz w:val="56"/>
          <w:szCs w:val="56"/>
        </w:rPr>
        <w:t xml:space="preserve"> Q001</w:t>
      </w:r>
    </w:p>
    <w:p w14:paraId="70A923D9" w14:textId="77777777"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75C1501E" w14:textId="41FE7F5E"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sectPr w:rsidR="00B61B39" w:rsidSect="00DC2F69">
          <w:headerReference w:type="even" r:id="rId12"/>
          <w:headerReference w:type="default" r:id="rId13"/>
          <w:footerReference w:type="even" r:id="rId14"/>
          <w:footerReference w:type="default" r:id="rId15"/>
          <w:headerReference w:type="first" r:id="rId16"/>
          <w:footerReference w:type="first" r:id="rId17"/>
          <w:pgSz w:w="11906" w:h="16838"/>
          <w:pgMar w:top="1560" w:right="1440" w:bottom="1797" w:left="1440" w:header="993" w:footer="709" w:gutter="0"/>
          <w:cols w:space="708"/>
          <w:docGrid w:linePitch="360"/>
        </w:sectPr>
      </w:pPr>
    </w:p>
    <w:p w14:paraId="6E605DE6" w14:textId="41F79E6C" w:rsidR="00F40D75" w:rsidRPr="00F40D75" w:rsidRDefault="00F40D75" w:rsidP="00C323F0">
      <w:pPr>
        <w:spacing w:before="240" w:after="240"/>
        <w:ind w:left="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Document Control:</w:t>
      </w:r>
    </w:p>
    <w:tbl>
      <w:tblPr>
        <w:tblStyle w:val="TableGrid1"/>
        <w:tblW w:w="9072" w:type="dxa"/>
        <w:tblInd w:w="-5" w:type="dxa"/>
        <w:tblLook w:val="04A0" w:firstRow="1" w:lastRow="0" w:firstColumn="1" w:lastColumn="0" w:noHBand="0" w:noVBand="1"/>
      </w:tblPr>
      <w:tblGrid>
        <w:gridCol w:w="4395"/>
        <w:gridCol w:w="4677"/>
      </w:tblGrid>
      <w:tr w:rsidR="009B21D7" w:rsidRPr="009B21D7" w14:paraId="6FD38659" w14:textId="77777777" w:rsidTr="6D9D960F">
        <w:tc>
          <w:tcPr>
            <w:tcW w:w="4395" w:type="dxa"/>
            <w:shd w:val="clear" w:color="auto" w:fill="003087" w:themeFill="accent1"/>
          </w:tcPr>
          <w:p w14:paraId="34D61849" w14:textId="39E4148A" w:rsidR="009B21D7" w:rsidRPr="009B21D7" w:rsidRDefault="009B21D7" w:rsidP="00F40D75">
            <w:pPr>
              <w:spacing w:before="0" w:after="0"/>
              <w:ind w:left="0"/>
              <w:rPr>
                <w:b/>
                <w:bCs/>
                <w:color w:val="FFFFFF" w:themeColor="background1"/>
              </w:rPr>
            </w:pPr>
            <w:r w:rsidRPr="009B21D7">
              <w:rPr>
                <w:b/>
                <w:bCs/>
                <w:color w:val="FFFFFF" w:themeColor="background1"/>
              </w:rPr>
              <w:t>Document Control Information</w:t>
            </w:r>
          </w:p>
        </w:tc>
        <w:tc>
          <w:tcPr>
            <w:tcW w:w="4677" w:type="dxa"/>
          </w:tcPr>
          <w:p w14:paraId="146E8AE7" w14:textId="7F57D132" w:rsidR="009B21D7" w:rsidRPr="009B21D7" w:rsidRDefault="009B21D7" w:rsidP="00F40D75">
            <w:pPr>
              <w:spacing w:before="0" w:after="0"/>
              <w:ind w:left="0"/>
              <w:rPr>
                <w:b/>
                <w:bCs/>
              </w:rPr>
            </w:pPr>
            <w:r w:rsidRPr="009B21D7">
              <w:rPr>
                <w:b/>
                <w:bCs/>
              </w:rPr>
              <w:t>Details</w:t>
            </w:r>
          </w:p>
        </w:tc>
      </w:tr>
      <w:tr w:rsidR="00F40D75" w:rsidRPr="00F40D75" w14:paraId="04821402" w14:textId="77777777" w:rsidTr="6D9D960F">
        <w:tc>
          <w:tcPr>
            <w:tcW w:w="4395" w:type="dxa"/>
            <w:shd w:val="clear" w:color="auto" w:fill="003087" w:themeFill="accent1"/>
          </w:tcPr>
          <w:p w14:paraId="01FF42DC" w14:textId="77777777" w:rsidR="00F40D75" w:rsidRPr="00F40D75" w:rsidRDefault="00F40D75" w:rsidP="00F40D75">
            <w:pPr>
              <w:spacing w:before="0" w:after="0"/>
              <w:ind w:left="0"/>
              <w:rPr>
                <w:color w:val="FFFFFF" w:themeColor="background1"/>
              </w:rPr>
            </w:pPr>
            <w:r w:rsidRPr="00F40D75">
              <w:rPr>
                <w:color w:val="FFFFFF" w:themeColor="background1"/>
              </w:rPr>
              <w:t>Policy Name</w:t>
            </w:r>
          </w:p>
        </w:tc>
        <w:tc>
          <w:tcPr>
            <w:tcW w:w="4677" w:type="dxa"/>
          </w:tcPr>
          <w:p w14:paraId="38B4A09A" w14:textId="000AEF2C" w:rsidR="00F40D75" w:rsidRPr="00F40D75" w:rsidRDefault="00CE31E2" w:rsidP="00F40D75">
            <w:pPr>
              <w:spacing w:before="0" w:after="0"/>
              <w:ind w:left="0"/>
            </w:pPr>
            <w:r>
              <w:t>Patient Choice Policy</w:t>
            </w:r>
          </w:p>
        </w:tc>
      </w:tr>
      <w:tr w:rsidR="00F40D75" w:rsidRPr="00F40D75" w14:paraId="205685CB" w14:textId="77777777" w:rsidTr="6D9D960F">
        <w:tc>
          <w:tcPr>
            <w:tcW w:w="4395" w:type="dxa"/>
            <w:shd w:val="clear" w:color="auto" w:fill="003087" w:themeFill="accent1"/>
          </w:tcPr>
          <w:p w14:paraId="0D4655F7" w14:textId="77777777" w:rsidR="00F40D75" w:rsidRPr="00F40D75" w:rsidRDefault="00F40D75" w:rsidP="00F40D75">
            <w:pPr>
              <w:spacing w:before="0" w:after="0"/>
              <w:ind w:left="0"/>
              <w:rPr>
                <w:color w:val="FFFFFF" w:themeColor="background1"/>
              </w:rPr>
            </w:pPr>
            <w:r w:rsidRPr="00F40D75">
              <w:rPr>
                <w:color w:val="FFFFFF" w:themeColor="background1"/>
              </w:rPr>
              <w:t>Policy Number</w:t>
            </w:r>
          </w:p>
        </w:tc>
        <w:tc>
          <w:tcPr>
            <w:tcW w:w="4677" w:type="dxa"/>
          </w:tcPr>
          <w:p w14:paraId="5E5C91E9" w14:textId="5B71D774" w:rsidR="00F40D75" w:rsidRPr="00582DE0" w:rsidRDefault="00862635" w:rsidP="6D9D960F">
            <w:pPr>
              <w:spacing w:before="0" w:after="0"/>
              <w:ind w:left="0"/>
            </w:pPr>
            <w:r>
              <w:t>Q001</w:t>
            </w:r>
          </w:p>
        </w:tc>
      </w:tr>
      <w:tr w:rsidR="00F40D75" w:rsidRPr="00F40D75" w14:paraId="578339F8" w14:textId="77777777" w:rsidTr="6D9D960F">
        <w:tc>
          <w:tcPr>
            <w:tcW w:w="4395" w:type="dxa"/>
            <w:shd w:val="clear" w:color="auto" w:fill="003087" w:themeFill="accent1"/>
          </w:tcPr>
          <w:p w14:paraId="325770AC" w14:textId="77777777" w:rsidR="00F40D75" w:rsidRPr="00F40D75" w:rsidRDefault="00F40D75" w:rsidP="00F40D75">
            <w:pPr>
              <w:spacing w:before="0" w:after="0"/>
              <w:ind w:left="0"/>
              <w:rPr>
                <w:color w:val="FFFFFF" w:themeColor="background1"/>
              </w:rPr>
            </w:pPr>
            <w:r w:rsidRPr="00F40D75">
              <w:rPr>
                <w:color w:val="FFFFFF" w:themeColor="background1"/>
              </w:rPr>
              <w:t>Version</w:t>
            </w:r>
          </w:p>
        </w:tc>
        <w:tc>
          <w:tcPr>
            <w:tcW w:w="4677" w:type="dxa"/>
          </w:tcPr>
          <w:p w14:paraId="5F8A4B9A" w14:textId="45D00A38" w:rsidR="00F40D75" w:rsidRPr="00582DE0" w:rsidRDefault="00862635" w:rsidP="00F40D75">
            <w:pPr>
              <w:spacing w:before="0" w:after="0"/>
              <w:ind w:left="0"/>
            </w:pPr>
            <w:r>
              <w:t>1.0</w:t>
            </w:r>
          </w:p>
        </w:tc>
      </w:tr>
      <w:tr w:rsidR="00F40D75" w:rsidRPr="00F40D75" w14:paraId="20DC4737" w14:textId="77777777" w:rsidTr="6D9D960F">
        <w:tc>
          <w:tcPr>
            <w:tcW w:w="4395" w:type="dxa"/>
            <w:shd w:val="clear" w:color="auto" w:fill="003087" w:themeFill="accent1"/>
          </w:tcPr>
          <w:p w14:paraId="6053D5EE" w14:textId="77777777" w:rsidR="00F40D75" w:rsidRPr="00F40D75" w:rsidRDefault="00F40D75" w:rsidP="00F40D75">
            <w:pPr>
              <w:spacing w:before="0" w:after="0"/>
              <w:ind w:left="0"/>
              <w:rPr>
                <w:color w:val="FFFFFF" w:themeColor="background1"/>
              </w:rPr>
            </w:pPr>
            <w:r w:rsidRPr="00F40D75">
              <w:rPr>
                <w:color w:val="FFFFFF" w:themeColor="background1"/>
              </w:rPr>
              <w:t>Status</w:t>
            </w:r>
          </w:p>
        </w:tc>
        <w:tc>
          <w:tcPr>
            <w:tcW w:w="4677" w:type="dxa"/>
          </w:tcPr>
          <w:p w14:paraId="0B42E873" w14:textId="13EB9A1C" w:rsidR="00F40D75" w:rsidRPr="00582DE0" w:rsidRDefault="00862635" w:rsidP="00F40D75">
            <w:pPr>
              <w:spacing w:before="0" w:after="0"/>
              <w:ind w:left="0"/>
            </w:pPr>
            <w:r>
              <w:t>Final - Approved</w:t>
            </w:r>
          </w:p>
        </w:tc>
      </w:tr>
      <w:tr w:rsidR="00F40D75" w:rsidRPr="00F40D75" w14:paraId="5AB6D30F" w14:textId="77777777" w:rsidTr="6D9D960F">
        <w:tc>
          <w:tcPr>
            <w:tcW w:w="4395" w:type="dxa"/>
            <w:shd w:val="clear" w:color="auto" w:fill="003087" w:themeFill="accent1"/>
          </w:tcPr>
          <w:p w14:paraId="3DA4CEBD" w14:textId="77777777" w:rsidR="00F40D75" w:rsidRPr="00F40D75" w:rsidRDefault="00F40D75" w:rsidP="00F40D75">
            <w:pPr>
              <w:spacing w:before="0" w:after="0"/>
              <w:ind w:left="0"/>
              <w:rPr>
                <w:color w:val="FFFFFF" w:themeColor="background1"/>
              </w:rPr>
            </w:pPr>
            <w:r w:rsidRPr="00F40D75">
              <w:rPr>
                <w:color w:val="FFFFFF" w:themeColor="background1"/>
              </w:rPr>
              <w:t>Author / Lead</w:t>
            </w:r>
          </w:p>
        </w:tc>
        <w:tc>
          <w:tcPr>
            <w:tcW w:w="4677" w:type="dxa"/>
          </w:tcPr>
          <w:p w14:paraId="769C069E" w14:textId="07A50596" w:rsidR="00F40D75" w:rsidRPr="00582DE0" w:rsidRDefault="00BB7B05" w:rsidP="00F40D75">
            <w:pPr>
              <w:spacing w:before="0" w:after="0"/>
              <w:ind w:left="0"/>
            </w:pPr>
            <w:r w:rsidRPr="00582DE0">
              <w:t>Planned Care Commissioning Manager</w:t>
            </w:r>
          </w:p>
        </w:tc>
      </w:tr>
      <w:tr w:rsidR="00F40D75" w:rsidRPr="00F40D75" w14:paraId="25888863" w14:textId="77777777" w:rsidTr="6D9D960F">
        <w:tc>
          <w:tcPr>
            <w:tcW w:w="4395" w:type="dxa"/>
            <w:shd w:val="clear" w:color="auto" w:fill="003087" w:themeFill="accent1"/>
          </w:tcPr>
          <w:p w14:paraId="32CBC370" w14:textId="77777777" w:rsidR="00F40D75" w:rsidRPr="00F40D75" w:rsidRDefault="00F40D75" w:rsidP="00F40D75">
            <w:pPr>
              <w:spacing w:before="0" w:after="0"/>
              <w:ind w:left="0"/>
              <w:rPr>
                <w:color w:val="FFFFFF" w:themeColor="background1"/>
              </w:rPr>
            </w:pPr>
            <w:r w:rsidRPr="00F40D75">
              <w:rPr>
                <w:color w:val="FFFFFF" w:themeColor="background1"/>
              </w:rPr>
              <w:t>Responsible Executive Director</w:t>
            </w:r>
          </w:p>
        </w:tc>
        <w:tc>
          <w:tcPr>
            <w:tcW w:w="4677" w:type="dxa"/>
          </w:tcPr>
          <w:p w14:paraId="4E15631F" w14:textId="14AAC5FC" w:rsidR="00F40D75" w:rsidRPr="00582DE0" w:rsidRDefault="00582DE0" w:rsidP="6D9D960F">
            <w:pPr>
              <w:spacing w:before="0" w:after="0"/>
              <w:ind w:left="0"/>
            </w:pPr>
            <w:r w:rsidRPr="00582DE0">
              <w:t xml:space="preserve">Executive </w:t>
            </w:r>
            <w:r w:rsidR="00347024">
              <w:t>Chief Nur</w:t>
            </w:r>
            <w:r w:rsidR="00945C1E">
              <w:t>sing Officer</w:t>
            </w:r>
          </w:p>
        </w:tc>
      </w:tr>
      <w:tr w:rsidR="00F40D75" w:rsidRPr="00F40D75" w14:paraId="62464B95" w14:textId="77777777" w:rsidTr="6D9D960F">
        <w:tc>
          <w:tcPr>
            <w:tcW w:w="4395" w:type="dxa"/>
            <w:shd w:val="clear" w:color="auto" w:fill="003087" w:themeFill="accent1"/>
          </w:tcPr>
          <w:p w14:paraId="01E4F591" w14:textId="77777777" w:rsidR="00F40D75" w:rsidRPr="00F40D75" w:rsidRDefault="00F40D75" w:rsidP="00F40D75">
            <w:pPr>
              <w:spacing w:before="0" w:after="0"/>
              <w:ind w:left="0"/>
              <w:rPr>
                <w:color w:val="FFFFFF" w:themeColor="background1"/>
              </w:rPr>
            </w:pPr>
            <w:r w:rsidRPr="00F40D75">
              <w:rPr>
                <w:color w:val="FFFFFF" w:themeColor="background1"/>
              </w:rPr>
              <w:t>Responsible Committee</w:t>
            </w:r>
          </w:p>
        </w:tc>
        <w:tc>
          <w:tcPr>
            <w:tcW w:w="4677" w:type="dxa"/>
          </w:tcPr>
          <w:p w14:paraId="47AD669C" w14:textId="3EC91E85" w:rsidR="00F40D75" w:rsidRPr="00095B22" w:rsidRDefault="0032497E" w:rsidP="00F40D75">
            <w:pPr>
              <w:spacing w:before="0" w:after="0"/>
              <w:ind w:left="0"/>
              <w:rPr>
                <w:color w:val="auto"/>
              </w:rPr>
            </w:pPr>
            <w:r>
              <w:rPr>
                <w:color w:val="auto"/>
              </w:rPr>
              <w:t>Commissioning, Quality and Resource</w:t>
            </w:r>
            <w:r w:rsidR="00095B22" w:rsidRPr="00095B22">
              <w:rPr>
                <w:color w:val="auto"/>
              </w:rPr>
              <w:t xml:space="preserve"> Committee </w:t>
            </w:r>
          </w:p>
        </w:tc>
      </w:tr>
      <w:tr w:rsidR="00F40D75" w:rsidRPr="00F40D75" w14:paraId="57D5D2E8" w14:textId="77777777" w:rsidTr="6D9D960F">
        <w:tc>
          <w:tcPr>
            <w:tcW w:w="4395" w:type="dxa"/>
            <w:shd w:val="clear" w:color="auto" w:fill="003087" w:themeFill="accent1"/>
          </w:tcPr>
          <w:p w14:paraId="3DCE8CF6" w14:textId="21257A4A"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Approved</w:t>
            </w:r>
            <w:r w:rsidR="00073306" w:rsidRPr="00F40D75">
              <w:rPr>
                <w:color w:val="FFFFFF" w:themeColor="background1"/>
              </w:rPr>
              <w:t xml:space="preserve"> </w:t>
            </w:r>
            <w:r w:rsidRPr="00F40D75">
              <w:rPr>
                <w:color w:val="FFFFFF" w:themeColor="background1"/>
              </w:rPr>
              <w:t>by Responsible Committee</w:t>
            </w:r>
          </w:p>
        </w:tc>
        <w:tc>
          <w:tcPr>
            <w:tcW w:w="4677" w:type="dxa"/>
          </w:tcPr>
          <w:p w14:paraId="4A89EEB7" w14:textId="77777777" w:rsidR="00F40D75" w:rsidRPr="00E710A4" w:rsidRDefault="00E710A4" w:rsidP="00F40D75">
            <w:pPr>
              <w:spacing w:before="0" w:after="0"/>
              <w:ind w:left="0"/>
              <w:rPr>
                <w:color w:val="auto"/>
              </w:rPr>
            </w:pPr>
            <w:r w:rsidRPr="00E710A4">
              <w:rPr>
                <w:color w:val="auto"/>
              </w:rPr>
              <w:t xml:space="preserve">17 March 2026 </w:t>
            </w:r>
          </w:p>
          <w:p w14:paraId="3802A08B" w14:textId="2239DCD0" w:rsidR="00E710A4" w:rsidRPr="00E710A4" w:rsidRDefault="00E710A4" w:rsidP="00F40D75">
            <w:pPr>
              <w:spacing w:before="0" w:after="0"/>
              <w:ind w:left="0"/>
              <w:rPr>
                <w:color w:val="auto"/>
              </w:rPr>
            </w:pPr>
            <w:r w:rsidRPr="00E710A4">
              <w:rPr>
                <w:color w:val="auto"/>
              </w:rPr>
              <w:t xml:space="preserve">(Essex Joint Quality </w:t>
            </w:r>
            <w:r w:rsidR="005167B1">
              <w:rPr>
                <w:color w:val="auto"/>
              </w:rPr>
              <w:t>Sub-</w:t>
            </w:r>
            <w:r w:rsidRPr="00E710A4">
              <w:rPr>
                <w:color w:val="auto"/>
              </w:rPr>
              <w:t>Committee)</w:t>
            </w:r>
          </w:p>
        </w:tc>
      </w:tr>
      <w:tr w:rsidR="00F40D75" w:rsidRPr="00F40D75" w14:paraId="789E8FA5" w14:textId="77777777" w:rsidTr="6D9D960F">
        <w:tc>
          <w:tcPr>
            <w:tcW w:w="4395" w:type="dxa"/>
            <w:shd w:val="clear" w:color="auto" w:fill="003087" w:themeFill="accent1"/>
          </w:tcPr>
          <w:p w14:paraId="4108E307" w14:textId="3755AC40"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Ratified</w:t>
            </w:r>
            <w:r w:rsidR="00073306" w:rsidRPr="00F40D75">
              <w:rPr>
                <w:color w:val="FFFFFF" w:themeColor="background1"/>
              </w:rPr>
              <w:t xml:space="preserve"> </w:t>
            </w:r>
            <w:r w:rsidRPr="00F40D75">
              <w:rPr>
                <w:color w:val="FFFFFF" w:themeColor="background1"/>
              </w:rPr>
              <w:t xml:space="preserve">by </w:t>
            </w:r>
            <w:r w:rsidR="00A00F6D">
              <w:rPr>
                <w:color w:val="FFFFFF" w:themeColor="background1"/>
              </w:rPr>
              <w:t xml:space="preserve">the ICB </w:t>
            </w:r>
            <w:r w:rsidRPr="00F40D75">
              <w:rPr>
                <w:color w:val="FFFFFF" w:themeColor="background1"/>
              </w:rPr>
              <w:t>Board/Effective Date</w:t>
            </w:r>
          </w:p>
        </w:tc>
        <w:tc>
          <w:tcPr>
            <w:tcW w:w="4677" w:type="dxa"/>
          </w:tcPr>
          <w:p w14:paraId="0CFA47BB" w14:textId="69B2F8C3" w:rsidR="00F40D75" w:rsidRPr="00F40D75" w:rsidRDefault="00E710A4" w:rsidP="00F40D75">
            <w:pPr>
              <w:spacing w:before="0" w:after="0"/>
              <w:ind w:left="0"/>
              <w:rPr>
                <w:color w:val="auto"/>
                <w:highlight w:val="yellow"/>
              </w:rPr>
            </w:pPr>
            <w:r>
              <w:rPr>
                <w:color w:val="auto"/>
              </w:rPr>
              <w:t>1 April 2026</w:t>
            </w:r>
          </w:p>
        </w:tc>
      </w:tr>
      <w:tr w:rsidR="00F40D75" w:rsidRPr="00F40D75" w14:paraId="05F9D825" w14:textId="77777777" w:rsidTr="6D9D960F">
        <w:tc>
          <w:tcPr>
            <w:tcW w:w="4395" w:type="dxa"/>
            <w:shd w:val="clear" w:color="auto" w:fill="003087" w:themeFill="accent1"/>
          </w:tcPr>
          <w:p w14:paraId="75F9AE6A" w14:textId="77777777" w:rsidR="00F40D75" w:rsidRPr="00F40D75" w:rsidRDefault="00F40D75" w:rsidP="00F40D75">
            <w:pPr>
              <w:spacing w:before="0" w:after="0"/>
              <w:ind w:left="0"/>
              <w:rPr>
                <w:color w:val="FFFFFF" w:themeColor="background1"/>
              </w:rPr>
            </w:pPr>
            <w:r w:rsidRPr="00F40D75">
              <w:rPr>
                <w:color w:val="FFFFFF" w:themeColor="background1"/>
              </w:rPr>
              <w:t>Next Review Date</w:t>
            </w:r>
          </w:p>
        </w:tc>
        <w:tc>
          <w:tcPr>
            <w:tcW w:w="4677" w:type="dxa"/>
          </w:tcPr>
          <w:p w14:paraId="06A513EB" w14:textId="614FF81F" w:rsidR="00F40D75" w:rsidRPr="00F40D75" w:rsidRDefault="009F1EE0" w:rsidP="00F40D75">
            <w:pPr>
              <w:spacing w:before="0" w:after="0"/>
              <w:ind w:left="0"/>
              <w:rPr>
                <w:color w:val="auto"/>
              </w:rPr>
            </w:pPr>
            <w:r>
              <w:rPr>
                <w:color w:val="auto"/>
              </w:rPr>
              <w:t>April 2028</w:t>
            </w:r>
          </w:p>
        </w:tc>
      </w:tr>
      <w:tr w:rsidR="00F40D75" w:rsidRPr="00F40D75" w14:paraId="56E52DDF" w14:textId="77777777" w:rsidTr="6D9D960F">
        <w:tc>
          <w:tcPr>
            <w:tcW w:w="4395" w:type="dxa"/>
            <w:shd w:val="clear" w:color="auto" w:fill="003087" w:themeFill="accent1"/>
          </w:tcPr>
          <w:p w14:paraId="5CE5B8A4" w14:textId="77777777" w:rsidR="00F40D75" w:rsidRPr="00F40D75" w:rsidRDefault="00F40D75" w:rsidP="00F40D75">
            <w:pPr>
              <w:spacing w:before="0" w:after="0"/>
              <w:ind w:left="0"/>
              <w:rPr>
                <w:color w:val="FFFFFF" w:themeColor="background1"/>
              </w:rPr>
            </w:pPr>
            <w:r w:rsidRPr="00F40D75">
              <w:rPr>
                <w:color w:val="FFFFFF" w:themeColor="background1"/>
              </w:rPr>
              <w:t>Target Audience</w:t>
            </w:r>
          </w:p>
        </w:tc>
        <w:tc>
          <w:tcPr>
            <w:tcW w:w="4677" w:type="dxa"/>
          </w:tcPr>
          <w:p w14:paraId="672F710B" w14:textId="3A03F5E7" w:rsidR="00C46A3B" w:rsidRPr="00D0223A" w:rsidRDefault="00C46A3B" w:rsidP="00C46A3B">
            <w:pPr>
              <w:numPr>
                <w:ilvl w:val="0"/>
                <w:numId w:val="28"/>
              </w:numPr>
              <w:spacing w:before="0" w:line="276" w:lineRule="auto"/>
              <w:ind w:left="317" w:hanging="284"/>
              <w:contextualSpacing/>
              <w:rPr>
                <w:rFonts w:cs="Arial"/>
              </w:rPr>
            </w:pPr>
            <w:bookmarkStart w:id="0" w:name="_Hlk100158204"/>
            <w:r>
              <w:rPr>
                <w:rFonts w:cs="Arial"/>
              </w:rPr>
              <w:t>E</w:t>
            </w:r>
            <w:r w:rsidRPr="00D0223A">
              <w:rPr>
                <w:rFonts w:cs="Arial"/>
              </w:rPr>
              <w:t>ICB staff (including temporary/bank/agency staff/</w:t>
            </w:r>
            <w:r w:rsidRPr="00D0223A">
              <w:rPr>
                <w:rFonts w:cs="Times New Roman (Body CS)"/>
              </w:rPr>
              <w:t xml:space="preserve"> </w:t>
            </w:r>
            <w:r w:rsidRPr="00D0223A">
              <w:rPr>
                <w:rFonts w:cs="Arial"/>
              </w:rPr>
              <w:t>individuals on work experience/volunteers)</w:t>
            </w:r>
          </w:p>
          <w:p w14:paraId="221090F6" w14:textId="77777777" w:rsidR="00C46A3B" w:rsidRPr="00D0223A" w:rsidRDefault="00C46A3B" w:rsidP="00C46A3B">
            <w:pPr>
              <w:numPr>
                <w:ilvl w:val="0"/>
                <w:numId w:val="28"/>
              </w:numPr>
              <w:spacing w:before="0" w:line="276" w:lineRule="auto"/>
              <w:ind w:left="317" w:hanging="284"/>
              <w:contextualSpacing/>
              <w:rPr>
                <w:rFonts w:cs="Arial"/>
              </w:rPr>
            </w:pPr>
            <w:r w:rsidRPr="00D0223A">
              <w:rPr>
                <w:rFonts w:cs="Arial"/>
              </w:rPr>
              <w:t>Contractors engaged by the ICS Body</w:t>
            </w:r>
          </w:p>
          <w:p w14:paraId="55F091FF" w14:textId="77777777" w:rsidR="00C46A3B" w:rsidRDefault="00C46A3B" w:rsidP="00C46A3B">
            <w:pPr>
              <w:numPr>
                <w:ilvl w:val="0"/>
                <w:numId w:val="28"/>
              </w:numPr>
              <w:spacing w:before="0" w:line="276" w:lineRule="auto"/>
              <w:ind w:left="317" w:hanging="284"/>
              <w:contextualSpacing/>
              <w:rPr>
                <w:rFonts w:cs="Arial"/>
              </w:rPr>
            </w:pPr>
            <w:r w:rsidRPr="00D0223A">
              <w:rPr>
                <w:rFonts w:cs="Arial"/>
              </w:rPr>
              <w:t>Staff from other EICS Partnership organisations (including those working within ICS Body facilities)</w:t>
            </w:r>
          </w:p>
          <w:p w14:paraId="73E94411" w14:textId="28AED365" w:rsidR="00F40D75" w:rsidRPr="00C46A3B" w:rsidRDefault="00C46A3B" w:rsidP="00C46A3B">
            <w:pPr>
              <w:numPr>
                <w:ilvl w:val="0"/>
                <w:numId w:val="28"/>
              </w:numPr>
              <w:spacing w:before="0" w:line="276" w:lineRule="auto"/>
              <w:ind w:left="317" w:hanging="284"/>
              <w:contextualSpacing/>
              <w:rPr>
                <w:rFonts w:cs="Arial"/>
              </w:rPr>
            </w:pPr>
            <w:r w:rsidRPr="00C46A3B">
              <w:rPr>
                <w:rFonts w:cs="Arial"/>
              </w:rPr>
              <w:t>Patients and members of the public</w:t>
            </w:r>
            <w:bookmarkEnd w:id="0"/>
          </w:p>
        </w:tc>
      </w:tr>
      <w:tr w:rsidR="00F40D75" w:rsidRPr="00F40D75" w14:paraId="1044E36A" w14:textId="77777777" w:rsidTr="6D9D960F">
        <w:tc>
          <w:tcPr>
            <w:tcW w:w="4395" w:type="dxa"/>
            <w:shd w:val="clear" w:color="auto" w:fill="003087" w:themeFill="accent1"/>
          </w:tcPr>
          <w:p w14:paraId="311D9ADB" w14:textId="77777777" w:rsidR="00F40D75" w:rsidRPr="00F40D75" w:rsidRDefault="00F40D75" w:rsidP="00F40D75">
            <w:pPr>
              <w:spacing w:before="0" w:after="0"/>
              <w:ind w:left="0"/>
              <w:rPr>
                <w:color w:val="FFFFFF" w:themeColor="background1"/>
              </w:rPr>
            </w:pPr>
            <w:r w:rsidRPr="00F40D75">
              <w:rPr>
                <w:color w:val="FFFFFF" w:themeColor="background1"/>
              </w:rPr>
              <w:t xml:space="preserve">Stakeholders engaged in development of Policy (internal and external) </w:t>
            </w:r>
          </w:p>
        </w:tc>
        <w:tc>
          <w:tcPr>
            <w:tcW w:w="4677" w:type="dxa"/>
          </w:tcPr>
          <w:p w14:paraId="57CA8B0A" w14:textId="7CE8EF15" w:rsidR="00F40D75" w:rsidRPr="00F40D75" w:rsidRDefault="00D4653E" w:rsidP="6D9D960F">
            <w:pPr>
              <w:spacing w:before="0" w:after="0"/>
              <w:ind w:left="0"/>
              <w:contextualSpacing/>
              <w:rPr>
                <w:rFonts w:ascii="Arial" w:eastAsia="Arial" w:hAnsi="Arial" w:cs="Arial"/>
                <w:color w:val="231F20" w:themeColor="text2"/>
              </w:rPr>
            </w:pPr>
            <w:r>
              <w:rPr>
                <w:rFonts w:cs="Times New Roman (Body CS)"/>
              </w:rPr>
              <w:t>Improving Referrals Steering Group</w:t>
            </w:r>
          </w:p>
        </w:tc>
      </w:tr>
      <w:tr w:rsidR="00F40D75" w:rsidRPr="00F40D75" w14:paraId="5AD3E51A" w14:textId="77777777" w:rsidTr="6D9D960F">
        <w:tc>
          <w:tcPr>
            <w:tcW w:w="4395" w:type="dxa"/>
            <w:shd w:val="clear" w:color="auto" w:fill="003087" w:themeFill="accent1"/>
          </w:tcPr>
          <w:p w14:paraId="3DD518BF" w14:textId="77777777" w:rsidR="00F40D75" w:rsidRPr="00F40D75" w:rsidRDefault="00F40D75" w:rsidP="00F40D75">
            <w:pPr>
              <w:spacing w:before="0" w:after="0"/>
              <w:ind w:left="0"/>
              <w:rPr>
                <w:color w:val="FFFFFF" w:themeColor="background1"/>
              </w:rPr>
            </w:pPr>
            <w:r w:rsidRPr="00F40D75">
              <w:rPr>
                <w:color w:val="FFFFFF" w:themeColor="background1"/>
              </w:rPr>
              <w:t xml:space="preserve">Impact Assessments Undertaken </w:t>
            </w:r>
          </w:p>
          <w:p w14:paraId="33233CEA" w14:textId="35E96D41" w:rsidR="00F40D75" w:rsidRPr="00F40D75" w:rsidRDefault="00F40D75" w:rsidP="00F40D75">
            <w:pPr>
              <w:spacing w:before="0" w:after="0"/>
              <w:ind w:left="0"/>
              <w:rPr>
                <w:i/>
                <w:iCs/>
                <w:color w:val="FFFFFF" w:themeColor="background1"/>
              </w:rPr>
            </w:pPr>
            <w:r w:rsidRPr="00F40D75">
              <w:rPr>
                <w:i/>
                <w:iCs/>
                <w:color w:val="FFFFFF" w:themeColor="background1"/>
              </w:rPr>
              <w:t>(</w:t>
            </w:r>
            <w:r w:rsidR="00756227">
              <w:rPr>
                <w:i/>
                <w:iCs/>
                <w:color w:val="FFFFFF" w:themeColor="background1"/>
              </w:rPr>
              <w:t>Delete</w:t>
            </w:r>
            <w:r w:rsidRPr="00F40D75">
              <w:rPr>
                <w:i/>
                <w:iCs/>
                <w:color w:val="FFFFFF" w:themeColor="background1"/>
              </w:rPr>
              <w:t xml:space="preserve"> if no</w:t>
            </w:r>
            <w:r w:rsidR="00786D48">
              <w:rPr>
                <w:i/>
                <w:iCs/>
                <w:color w:val="FFFFFF" w:themeColor="background1"/>
              </w:rPr>
              <w:t xml:space="preserve">t </w:t>
            </w:r>
            <w:r w:rsidRPr="00F40D75">
              <w:rPr>
                <w:i/>
                <w:iCs/>
                <w:color w:val="FFFFFF" w:themeColor="background1"/>
              </w:rPr>
              <w:t>applicable)</w:t>
            </w:r>
          </w:p>
        </w:tc>
        <w:tc>
          <w:tcPr>
            <w:tcW w:w="4677" w:type="dxa"/>
          </w:tcPr>
          <w:p w14:paraId="4721129D" w14:textId="58E2168B" w:rsidR="00F40D75" w:rsidRPr="00786D48" w:rsidRDefault="009A3320" w:rsidP="00460A72">
            <w:pPr>
              <w:numPr>
                <w:ilvl w:val="0"/>
                <w:numId w:val="12"/>
              </w:numPr>
              <w:spacing w:before="0" w:after="0"/>
              <w:ind w:left="318" w:hanging="284"/>
              <w:contextualSpacing/>
              <w:rPr>
                <w:rFonts w:cs="Times New Roman (Body CS)"/>
              </w:rPr>
            </w:pPr>
            <w:r w:rsidRPr="00F40D75">
              <w:rPr>
                <w:rFonts w:cs="Times New Roman (Body CS)"/>
              </w:rPr>
              <w:t>Equality and Health Inequalities Impact Assessment</w:t>
            </w:r>
            <w:r>
              <w:rPr>
                <w:rFonts w:cs="Times New Roman (Body CS)"/>
              </w:rPr>
              <w:t xml:space="preserve"> (See </w:t>
            </w:r>
            <w:r w:rsidRPr="00DB3FB7">
              <w:rPr>
                <w:rFonts w:cs="Times New Roman (Body CS)"/>
                <w:b/>
                <w:bCs/>
              </w:rPr>
              <w:t>Appendix A</w:t>
            </w:r>
            <w:r>
              <w:rPr>
                <w:rFonts w:cs="Times New Roman (Body CS)"/>
              </w:rPr>
              <w:t xml:space="preserve">) </w:t>
            </w:r>
          </w:p>
        </w:tc>
      </w:tr>
    </w:tbl>
    <w:p w14:paraId="0E090F02" w14:textId="77777777" w:rsidR="00F40D75" w:rsidRPr="00F40D75" w:rsidRDefault="00F40D75" w:rsidP="00F40D75">
      <w:pPr>
        <w:spacing w:before="0" w:after="0"/>
        <w:ind w:left="0"/>
      </w:pPr>
    </w:p>
    <w:p w14:paraId="0C917D2C"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t>Version History</w:t>
      </w:r>
    </w:p>
    <w:tbl>
      <w:tblPr>
        <w:tblStyle w:val="TableGrid1"/>
        <w:tblW w:w="0" w:type="auto"/>
        <w:tblLook w:val="04A0" w:firstRow="1" w:lastRow="0" w:firstColumn="1" w:lastColumn="0" w:noHBand="0" w:noVBand="1"/>
      </w:tblPr>
      <w:tblGrid>
        <w:gridCol w:w="1086"/>
        <w:gridCol w:w="1318"/>
        <w:gridCol w:w="2936"/>
        <w:gridCol w:w="3676"/>
      </w:tblGrid>
      <w:tr w:rsidR="00F40D75" w:rsidRPr="00F40D75" w14:paraId="6F168EB3" w14:textId="77777777" w:rsidTr="00B643F0">
        <w:trPr>
          <w:trHeight w:val="489"/>
          <w:tblHeader/>
        </w:trPr>
        <w:tc>
          <w:tcPr>
            <w:tcW w:w="1086" w:type="dxa"/>
            <w:shd w:val="clear" w:color="auto" w:fill="003087" w:themeFill="accent1"/>
            <w:vAlign w:val="center"/>
          </w:tcPr>
          <w:p w14:paraId="447BB25D"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Version</w:t>
            </w:r>
          </w:p>
        </w:tc>
        <w:tc>
          <w:tcPr>
            <w:tcW w:w="1318" w:type="dxa"/>
            <w:shd w:val="clear" w:color="auto" w:fill="003087" w:themeFill="accent1"/>
            <w:vAlign w:val="center"/>
          </w:tcPr>
          <w:p w14:paraId="58766829"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2936" w:type="dxa"/>
            <w:shd w:val="clear" w:color="auto" w:fill="003087" w:themeFill="accent1"/>
            <w:vAlign w:val="center"/>
          </w:tcPr>
          <w:p w14:paraId="5186C695"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Author (Name and Title)</w:t>
            </w:r>
          </w:p>
        </w:tc>
        <w:tc>
          <w:tcPr>
            <w:tcW w:w="3676" w:type="dxa"/>
            <w:shd w:val="clear" w:color="auto" w:fill="003087" w:themeFill="accent1"/>
            <w:vAlign w:val="center"/>
          </w:tcPr>
          <w:p w14:paraId="3A7D2C3A"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Summary of amendments made</w:t>
            </w:r>
          </w:p>
        </w:tc>
      </w:tr>
      <w:tr w:rsidR="00F40D75" w:rsidRPr="00F40D75" w14:paraId="0BCBC564" w14:textId="77777777" w:rsidTr="00B643F0">
        <w:trPr>
          <w:trHeight w:val="424"/>
        </w:trPr>
        <w:tc>
          <w:tcPr>
            <w:tcW w:w="1086" w:type="dxa"/>
            <w:vAlign w:val="center"/>
          </w:tcPr>
          <w:p w14:paraId="4F6D5CDE" w14:textId="5644EDE6" w:rsidR="00F40D75" w:rsidRPr="00F40D75" w:rsidRDefault="00756227"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 xml:space="preserve">0.1 </w:t>
            </w:r>
          </w:p>
        </w:tc>
        <w:tc>
          <w:tcPr>
            <w:tcW w:w="1318" w:type="dxa"/>
            <w:vAlign w:val="center"/>
          </w:tcPr>
          <w:p w14:paraId="31908398" w14:textId="0176372F" w:rsidR="00F40D75" w:rsidRPr="00F40D75" w:rsidRDefault="009A3320"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04/02/2026</w:t>
            </w:r>
          </w:p>
        </w:tc>
        <w:tc>
          <w:tcPr>
            <w:tcW w:w="2936" w:type="dxa"/>
            <w:vAlign w:val="center"/>
          </w:tcPr>
          <w:p w14:paraId="10153AFC" w14:textId="1115E111" w:rsidR="00F40D75" w:rsidRPr="00F40D75" w:rsidRDefault="009A3320" w:rsidP="6D9D960F">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 xml:space="preserve">Dannielle Robinson - </w:t>
            </w:r>
            <w:r w:rsidRPr="00582DE0">
              <w:t>Planned Care Commissioning Manager</w:t>
            </w:r>
          </w:p>
        </w:tc>
        <w:tc>
          <w:tcPr>
            <w:tcW w:w="3676" w:type="dxa"/>
            <w:vAlign w:val="center"/>
          </w:tcPr>
          <w:p w14:paraId="19848414" w14:textId="386CC387" w:rsidR="00F40D75" w:rsidRPr="00F40D75" w:rsidRDefault="002D10EA" w:rsidP="6D9D960F">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 xml:space="preserve">New draft of EICB Policy </w:t>
            </w:r>
            <w:r w:rsidR="009A3320">
              <w:rPr>
                <w:rFonts w:eastAsiaTheme="minorEastAsia"/>
                <w:color w:val="auto"/>
                <w:sz w:val="22"/>
                <w:szCs w:val="22"/>
                <w:lang w:val="en-US" w:eastAsia="zh-CN"/>
              </w:rPr>
              <w:t xml:space="preserve"> </w:t>
            </w:r>
          </w:p>
        </w:tc>
      </w:tr>
      <w:tr w:rsidR="00F40D75" w:rsidRPr="00F40D75" w14:paraId="15DDBFA4" w14:textId="77777777" w:rsidTr="00B643F0">
        <w:trPr>
          <w:trHeight w:val="402"/>
        </w:trPr>
        <w:tc>
          <w:tcPr>
            <w:tcW w:w="1086" w:type="dxa"/>
            <w:vAlign w:val="center"/>
          </w:tcPr>
          <w:p w14:paraId="236043CE" w14:textId="0A5CD368" w:rsidR="00F40D75" w:rsidRPr="00F40D75" w:rsidRDefault="00286242"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0.2</w:t>
            </w:r>
          </w:p>
        </w:tc>
        <w:tc>
          <w:tcPr>
            <w:tcW w:w="1318" w:type="dxa"/>
            <w:vAlign w:val="center"/>
          </w:tcPr>
          <w:p w14:paraId="3F15EB56" w14:textId="5FE7428B" w:rsidR="00F40D75" w:rsidRPr="00F40D75" w:rsidRDefault="00040FAE"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04/03/2026</w:t>
            </w:r>
          </w:p>
        </w:tc>
        <w:tc>
          <w:tcPr>
            <w:tcW w:w="2936" w:type="dxa"/>
            <w:vAlign w:val="center"/>
          </w:tcPr>
          <w:p w14:paraId="46F2103E" w14:textId="49FC6E8D" w:rsidR="00F40D75" w:rsidRPr="00F40D75" w:rsidRDefault="00040FAE"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Sara O’Connor, Senior Manager Corporate Services</w:t>
            </w:r>
          </w:p>
        </w:tc>
        <w:tc>
          <w:tcPr>
            <w:tcW w:w="3676" w:type="dxa"/>
            <w:vAlign w:val="center"/>
          </w:tcPr>
          <w:p w14:paraId="4F65F7BC" w14:textId="4E0CE74E" w:rsidR="00F40D75" w:rsidRPr="00F40D75" w:rsidRDefault="00040FAE"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Minor amendments to formatting.</w:t>
            </w:r>
          </w:p>
        </w:tc>
      </w:tr>
      <w:tr w:rsidR="00F40D75" w:rsidRPr="00F40D75" w14:paraId="6490A62B" w14:textId="77777777" w:rsidTr="00B643F0">
        <w:trPr>
          <w:trHeight w:val="423"/>
        </w:trPr>
        <w:tc>
          <w:tcPr>
            <w:tcW w:w="1086" w:type="dxa"/>
            <w:vAlign w:val="center"/>
          </w:tcPr>
          <w:p w14:paraId="770DAFF8" w14:textId="3AF834FF" w:rsidR="00F40D75" w:rsidRPr="00F40D75" w:rsidRDefault="00637783"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1.0</w:t>
            </w:r>
          </w:p>
        </w:tc>
        <w:tc>
          <w:tcPr>
            <w:tcW w:w="1318" w:type="dxa"/>
            <w:vAlign w:val="center"/>
          </w:tcPr>
          <w:p w14:paraId="6324C28A" w14:textId="434B4807" w:rsidR="00F40D75" w:rsidRPr="00F40D75" w:rsidRDefault="00637783"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17/03/2026</w:t>
            </w:r>
          </w:p>
        </w:tc>
        <w:tc>
          <w:tcPr>
            <w:tcW w:w="2936" w:type="dxa"/>
            <w:vAlign w:val="center"/>
          </w:tcPr>
          <w:p w14:paraId="1448154E" w14:textId="4A38EEE2" w:rsidR="00F40D75" w:rsidRPr="00F40D75" w:rsidRDefault="00637783"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Governance Officer</w:t>
            </w:r>
          </w:p>
        </w:tc>
        <w:tc>
          <w:tcPr>
            <w:tcW w:w="3676" w:type="dxa"/>
            <w:vAlign w:val="center"/>
          </w:tcPr>
          <w:p w14:paraId="2C661DC4" w14:textId="23613913" w:rsidR="00F40D75" w:rsidRPr="00F40D75" w:rsidRDefault="00637783"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Final – Approved version</w:t>
            </w:r>
          </w:p>
        </w:tc>
      </w:tr>
      <w:tr w:rsidR="00F40D75" w:rsidRPr="00F40D75" w14:paraId="3FC073FE" w14:textId="77777777" w:rsidTr="00B643F0">
        <w:trPr>
          <w:trHeight w:val="423"/>
        </w:trPr>
        <w:tc>
          <w:tcPr>
            <w:tcW w:w="1086" w:type="dxa"/>
            <w:vAlign w:val="center"/>
          </w:tcPr>
          <w:p w14:paraId="1C43A1C8" w14:textId="77777777" w:rsidR="00F40D75" w:rsidRPr="00F40D75" w:rsidRDefault="00F40D75" w:rsidP="00F40D75">
            <w:pPr>
              <w:spacing w:before="0" w:after="0"/>
              <w:ind w:left="0"/>
              <w:rPr>
                <w:rFonts w:eastAsiaTheme="minorEastAsia"/>
                <w:color w:val="auto"/>
                <w:sz w:val="22"/>
                <w:szCs w:val="22"/>
                <w:lang w:val="en-US" w:eastAsia="zh-CN"/>
              </w:rPr>
            </w:pPr>
          </w:p>
        </w:tc>
        <w:tc>
          <w:tcPr>
            <w:tcW w:w="1318" w:type="dxa"/>
            <w:vAlign w:val="center"/>
          </w:tcPr>
          <w:p w14:paraId="69A2272E" w14:textId="77777777" w:rsidR="00F40D75" w:rsidRPr="00F40D75" w:rsidRDefault="00F40D75" w:rsidP="00F40D75">
            <w:pPr>
              <w:spacing w:before="0" w:after="0"/>
              <w:ind w:left="0"/>
              <w:rPr>
                <w:rFonts w:eastAsiaTheme="minorEastAsia"/>
                <w:color w:val="auto"/>
                <w:sz w:val="22"/>
                <w:szCs w:val="22"/>
                <w:lang w:val="en-US" w:eastAsia="zh-CN"/>
              </w:rPr>
            </w:pPr>
          </w:p>
        </w:tc>
        <w:tc>
          <w:tcPr>
            <w:tcW w:w="2936" w:type="dxa"/>
            <w:vAlign w:val="center"/>
          </w:tcPr>
          <w:p w14:paraId="0CC61264" w14:textId="77777777" w:rsidR="00F40D75" w:rsidRPr="00F40D75" w:rsidRDefault="00F40D75" w:rsidP="00F40D75">
            <w:pPr>
              <w:spacing w:before="0" w:after="0"/>
              <w:ind w:left="0"/>
              <w:rPr>
                <w:rFonts w:eastAsiaTheme="minorEastAsia"/>
                <w:color w:val="auto"/>
                <w:sz w:val="22"/>
                <w:szCs w:val="22"/>
                <w:lang w:val="en-US" w:eastAsia="zh-CN"/>
              </w:rPr>
            </w:pPr>
          </w:p>
        </w:tc>
        <w:tc>
          <w:tcPr>
            <w:tcW w:w="3676" w:type="dxa"/>
            <w:vAlign w:val="center"/>
          </w:tcPr>
          <w:p w14:paraId="25BC316A"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54FF737B" w14:textId="77777777" w:rsidTr="00B643F0">
        <w:trPr>
          <w:trHeight w:val="423"/>
        </w:trPr>
        <w:tc>
          <w:tcPr>
            <w:tcW w:w="1086" w:type="dxa"/>
            <w:vAlign w:val="center"/>
          </w:tcPr>
          <w:p w14:paraId="04A23FF6" w14:textId="77777777" w:rsidR="00F40D75" w:rsidRPr="00F40D75" w:rsidRDefault="00F40D75" w:rsidP="00F40D75">
            <w:pPr>
              <w:spacing w:before="0" w:after="0"/>
              <w:ind w:left="0"/>
              <w:rPr>
                <w:rFonts w:eastAsiaTheme="minorEastAsia"/>
                <w:color w:val="auto"/>
                <w:sz w:val="22"/>
                <w:szCs w:val="22"/>
                <w:lang w:val="en-US" w:eastAsia="zh-CN"/>
              </w:rPr>
            </w:pPr>
          </w:p>
        </w:tc>
        <w:tc>
          <w:tcPr>
            <w:tcW w:w="1318" w:type="dxa"/>
            <w:vAlign w:val="center"/>
          </w:tcPr>
          <w:p w14:paraId="5F7C7591" w14:textId="77777777" w:rsidR="00F40D75" w:rsidRPr="00F40D75" w:rsidRDefault="00F40D75" w:rsidP="00F40D75">
            <w:pPr>
              <w:spacing w:before="0" w:after="0"/>
              <w:ind w:left="0"/>
              <w:rPr>
                <w:rFonts w:eastAsiaTheme="minorEastAsia"/>
                <w:color w:val="auto"/>
                <w:sz w:val="22"/>
                <w:szCs w:val="22"/>
                <w:lang w:val="en-US" w:eastAsia="zh-CN"/>
              </w:rPr>
            </w:pPr>
          </w:p>
        </w:tc>
        <w:tc>
          <w:tcPr>
            <w:tcW w:w="2936" w:type="dxa"/>
            <w:vAlign w:val="center"/>
          </w:tcPr>
          <w:p w14:paraId="44B7142B" w14:textId="77777777" w:rsidR="00F40D75" w:rsidRPr="00F40D75" w:rsidRDefault="00F40D75" w:rsidP="00F40D75">
            <w:pPr>
              <w:spacing w:before="0" w:after="0"/>
              <w:ind w:left="0"/>
              <w:rPr>
                <w:rFonts w:eastAsiaTheme="minorEastAsia"/>
                <w:color w:val="auto"/>
                <w:sz w:val="22"/>
                <w:szCs w:val="22"/>
                <w:lang w:val="en-US" w:eastAsia="zh-CN"/>
              </w:rPr>
            </w:pPr>
          </w:p>
        </w:tc>
        <w:tc>
          <w:tcPr>
            <w:tcW w:w="3676" w:type="dxa"/>
            <w:vAlign w:val="center"/>
          </w:tcPr>
          <w:p w14:paraId="3E8D7CF4" w14:textId="77777777" w:rsidR="00F40D75" w:rsidRPr="00F40D75" w:rsidRDefault="00F40D75" w:rsidP="00F40D75">
            <w:pPr>
              <w:spacing w:before="0" w:after="0"/>
              <w:ind w:left="0"/>
              <w:rPr>
                <w:rFonts w:eastAsiaTheme="minorEastAsia"/>
                <w:color w:val="auto"/>
                <w:sz w:val="22"/>
                <w:szCs w:val="22"/>
                <w:lang w:val="en-US" w:eastAsia="zh-CN"/>
              </w:rPr>
            </w:pPr>
          </w:p>
        </w:tc>
      </w:tr>
    </w:tbl>
    <w:p w14:paraId="4B0DC46F" w14:textId="77777777" w:rsidR="00525089" w:rsidRPr="00F40D75" w:rsidRDefault="00525089" w:rsidP="00525089">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Contents</w:t>
      </w:r>
    </w:p>
    <w:p w14:paraId="53B02635" w14:textId="753334F5" w:rsidR="00994147" w:rsidRDefault="00525089">
      <w:pPr>
        <w:pStyle w:val="TOC1"/>
        <w:rPr>
          <w:rFonts w:eastAsiaTheme="minorEastAsia"/>
          <w:b w:val="0"/>
          <w:noProof/>
          <w:color w:val="auto"/>
          <w:kern w:val="2"/>
          <w:lang w:eastAsia="en-GB"/>
          <w14:ligatures w14:val="standardContextual"/>
        </w:rPr>
      </w:pPr>
      <w:r w:rsidRPr="00525089">
        <w:rPr>
          <w:rFonts w:ascii="AppleSystemUIFont" w:hAnsi="AppleSystemUIFont" w:cs="AppleSystemUIFont"/>
          <w:b w:val="0"/>
          <w:sz w:val="26"/>
          <w:szCs w:val="26"/>
        </w:rPr>
        <w:fldChar w:fldCharType="begin"/>
      </w:r>
      <w:r w:rsidRPr="00525089">
        <w:rPr>
          <w:rFonts w:ascii="AppleSystemUIFont" w:hAnsi="AppleSystemUIFont" w:cs="AppleSystemUIFont"/>
          <w:sz w:val="26"/>
          <w:szCs w:val="26"/>
        </w:rPr>
        <w:instrText xml:space="preserve"> TOC \h \z \t "Heading 2,1,Heading 3,2" </w:instrText>
      </w:r>
      <w:r w:rsidRPr="00525089">
        <w:rPr>
          <w:rFonts w:ascii="AppleSystemUIFont" w:hAnsi="AppleSystemUIFont" w:cs="AppleSystemUIFont"/>
          <w:b w:val="0"/>
          <w:sz w:val="26"/>
          <w:szCs w:val="26"/>
        </w:rPr>
        <w:fldChar w:fldCharType="separate"/>
      </w:r>
      <w:hyperlink w:anchor="_Toc229036797" w:history="1">
        <w:r w:rsidR="00994147" w:rsidRPr="002D4023">
          <w:rPr>
            <w:rStyle w:val="Hyperlink"/>
            <w:noProof/>
          </w:rPr>
          <w:t>1.</w:t>
        </w:r>
        <w:r w:rsidR="00994147">
          <w:rPr>
            <w:rFonts w:eastAsiaTheme="minorEastAsia"/>
            <w:b w:val="0"/>
            <w:noProof/>
            <w:color w:val="auto"/>
            <w:kern w:val="2"/>
            <w:lang w:eastAsia="en-GB"/>
            <w14:ligatures w14:val="standardContextual"/>
          </w:rPr>
          <w:tab/>
        </w:r>
        <w:r w:rsidR="00994147" w:rsidRPr="002D4023">
          <w:rPr>
            <w:rStyle w:val="Hyperlink"/>
            <w:noProof/>
          </w:rPr>
          <w:t>Introduction</w:t>
        </w:r>
        <w:r w:rsidR="00994147">
          <w:rPr>
            <w:noProof/>
            <w:webHidden/>
          </w:rPr>
          <w:tab/>
        </w:r>
        <w:r w:rsidR="00994147">
          <w:rPr>
            <w:noProof/>
            <w:webHidden/>
          </w:rPr>
          <w:fldChar w:fldCharType="begin"/>
        </w:r>
        <w:r w:rsidR="00994147">
          <w:rPr>
            <w:noProof/>
            <w:webHidden/>
          </w:rPr>
          <w:instrText xml:space="preserve"> PAGEREF _Toc229036797 \h </w:instrText>
        </w:r>
        <w:r w:rsidR="00994147">
          <w:rPr>
            <w:noProof/>
            <w:webHidden/>
          </w:rPr>
        </w:r>
        <w:r w:rsidR="00994147">
          <w:rPr>
            <w:noProof/>
            <w:webHidden/>
          </w:rPr>
          <w:fldChar w:fldCharType="separate"/>
        </w:r>
        <w:r w:rsidR="00835BEA">
          <w:rPr>
            <w:noProof/>
            <w:webHidden/>
          </w:rPr>
          <w:t>4</w:t>
        </w:r>
        <w:r w:rsidR="00994147">
          <w:rPr>
            <w:noProof/>
            <w:webHidden/>
          </w:rPr>
          <w:fldChar w:fldCharType="end"/>
        </w:r>
      </w:hyperlink>
    </w:p>
    <w:p w14:paraId="27B6AF46" w14:textId="7884D900" w:rsidR="00994147" w:rsidRDefault="00994147">
      <w:pPr>
        <w:pStyle w:val="TOC1"/>
        <w:rPr>
          <w:rFonts w:eastAsiaTheme="minorEastAsia"/>
          <w:b w:val="0"/>
          <w:noProof/>
          <w:color w:val="auto"/>
          <w:kern w:val="2"/>
          <w:lang w:eastAsia="en-GB"/>
          <w14:ligatures w14:val="standardContextual"/>
        </w:rPr>
      </w:pPr>
      <w:hyperlink w:anchor="_Toc229036798" w:history="1">
        <w:r w:rsidRPr="002D4023">
          <w:rPr>
            <w:rStyle w:val="Hyperlink"/>
            <w:noProof/>
          </w:rPr>
          <w:t>2.</w:t>
        </w:r>
        <w:r>
          <w:rPr>
            <w:rFonts w:eastAsiaTheme="minorEastAsia"/>
            <w:b w:val="0"/>
            <w:noProof/>
            <w:color w:val="auto"/>
            <w:kern w:val="2"/>
            <w:lang w:eastAsia="en-GB"/>
            <w14:ligatures w14:val="standardContextual"/>
          </w:rPr>
          <w:tab/>
        </w:r>
        <w:r w:rsidRPr="002D4023">
          <w:rPr>
            <w:rStyle w:val="Hyperlink"/>
            <w:noProof/>
          </w:rPr>
          <w:t>Purpose / Policy Statement</w:t>
        </w:r>
        <w:r>
          <w:rPr>
            <w:noProof/>
            <w:webHidden/>
          </w:rPr>
          <w:tab/>
        </w:r>
        <w:r>
          <w:rPr>
            <w:noProof/>
            <w:webHidden/>
          </w:rPr>
          <w:fldChar w:fldCharType="begin"/>
        </w:r>
        <w:r>
          <w:rPr>
            <w:noProof/>
            <w:webHidden/>
          </w:rPr>
          <w:instrText xml:space="preserve"> PAGEREF _Toc229036798 \h </w:instrText>
        </w:r>
        <w:r>
          <w:rPr>
            <w:noProof/>
            <w:webHidden/>
          </w:rPr>
        </w:r>
        <w:r>
          <w:rPr>
            <w:noProof/>
            <w:webHidden/>
          </w:rPr>
          <w:fldChar w:fldCharType="separate"/>
        </w:r>
        <w:r w:rsidR="00835BEA">
          <w:rPr>
            <w:noProof/>
            <w:webHidden/>
          </w:rPr>
          <w:t>4</w:t>
        </w:r>
        <w:r>
          <w:rPr>
            <w:noProof/>
            <w:webHidden/>
          </w:rPr>
          <w:fldChar w:fldCharType="end"/>
        </w:r>
      </w:hyperlink>
    </w:p>
    <w:p w14:paraId="266ED91D" w14:textId="76823288" w:rsidR="00994147" w:rsidRDefault="00994147">
      <w:pPr>
        <w:pStyle w:val="TOC1"/>
        <w:rPr>
          <w:rFonts w:eastAsiaTheme="minorEastAsia"/>
          <w:b w:val="0"/>
          <w:noProof/>
          <w:color w:val="auto"/>
          <w:kern w:val="2"/>
          <w:lang w:eastAsia="en-GB"/>
          <w14:ligatures w14:val="standardContextual"/>
        </w:rPr>
      </w:pPr>
      <w:hyperlink w:anchor="_Toc229036799" w:history="1">
        <w:r w:rsidRPr="002D4023">
          <w:rPr>
            <w:rStyle w:val="Hyperlink"/>
            <w:noProof/>
          </w:rPr>
          <w:t>3.</w:t>
        </w:r>
        <w:r>
          <w:rPr>
            <w:rFonts w:eastAsiaTheme="minorEastAsia"/>
            <w:b w:val="0"/>
            <w:noProof/>
            <w:color w:val="auto"/>
            <w:kern w:val="2"/>
            <w:lang w:eastAsia="en-GB"/>
            <w14:ligatures w14:val="standardContextual"/>
          </w:rPr>
          <w:tab/>
        </w:r>
        <w:r w:rsidRPr="002D4023">
          <w:rPr>
            <w:rStyle w:val="Hyperlink"/>
            <w:noProof/>
          </w:rPr>
          <w:t>Scope</w:t>
        </w:r>
        <w:r>
          <w:rPr>
            <w:noProof/>
            <w:webHidden/>
          </w:rPr>
          <w:tab/>
        </w:r>
        <w:r>
          <w:rPr>
            <w:noProof/>
            <w:webHidden/>
          </w:rPr>
          <w:fldChar w:fldCharType="begin"/>
        </w:r>
        <w:r>
          <w:rPr>
            <w:noProof/>
            <w:webHidden/>
          </w:rPr>
          <w:instrText xml:space="preserve"> PAGEREF _Toc229036799 \h </w:instrText>
        </w:r>
        <w:r>
          <w:rPr>
            <w:noProof/>
            <w:webHidden/>
          </w:rPr>
        </w:r>
        <w:r>
          <w:rPr>
            <w:noProof/>
            <w:webHidden/>
          </w:rPr>
          <w:fldChar w:fldCharType="separate"/>
        </w:r>
        <w:r w:rsidR="00835BEA">
          <w:rPr>
            <w:noProof/>
            <w:webHidden/>
          </w:rPr>
          <w:t>5</w:t>
        </w:r>
        <w:r>
          <w:rPr>
            <w:noProof/>
            <w:webHidden/>
          </w:rPr>
          <w:fldChar w:fldCharType="end"/>
        </w:r>
      </w:hyperlink>
    </w:p>
    <w:p w14:paraId="058BE85C" w14:textId="61C568E6" w:rsidR="00994147" w:rsidRDefault="00994147">
      <w:pPr>
        <w:pStyle w:val="TOC1"/>
        <w:rPr>
          <w:rFonts w:eastAsiaTheme="minorEastAsia"/>
          <w:b w:val="0"/>
          <w:noProof/>
          <w:color w:val="auto"/>
          <w:kern w:val="2"/>
          <w:lang w:eastAsia="en-GB"/>
          <w14:ligatures w14:val="standardContextual"/>
        </w:rPr>
      </w:pPr>
      <w:hyperlink w:anchor="_Toc229036800" w:history="1">
        <w:r w:rsidRPr="002D4023">
          <w:rPr>
            <w:rStyle w:val="Hyperlink"/>
            <w:noProof/>
          </w:rPr>
          <w:t>4.</w:t>
        </w:r>
        <w:r>
          <w:rPr>
            <w:rFonts w:eastAsiaTheme="minorEastAsia"/>
            <w:b w:val="0"/>
            <w:noProof/>
            <w:color w:val="auto"/>
            <w:kern w:val="2"/>
            <w:lang w:eastAsia="en-GB"/>
            <w14:ligatures w14:val="standardContextual"/>
          </w:rPr>
          <w:tab/>
        </w:r>
        <w:r w:rsidRPr="002D4023">
          <w:rPr>
            <w:rStyle w:val="Hyperlink"/>
            <w:noProof/>
          </w:rPr>
          <w:t>Definitions</w:t>
        </w:r>
        <w:r>
          <w:rPr>
            <w:noProof/>
            <w:webHidden/>
          </w:rPr>
          <w:tab/>
        </w:r>
        <w:r>
          <w:rPr>
            <w:noProof/>
            <w:webHidden/>
          </w:rPr>
          <w:fldChar w:fldCharType="begin"/>
        </w:r>
        <w:r>
          <w:rPr>
            <w:noProof/>
            <w:webHidden/>
          </w:rPr>
          <w:instrText xml:space="preserve"> PAGEREF _Toc229036800 \h </w:instrText>
        </w:r>
        <w:r>
          <w:rPr>
            <w:noProof/>
            <w:webHidden/>
          </w:rPr>
        </w:r>
        <w:r>
          <w:rPr>
            <w:noProof/>
            <w:webHidden/>
          </w:rPr>
          <w:fldChar w:fldCharType="separate"/>
        </w:r>
        <w:r w:rsidR="00835BEA">
          <w:rPr>
            <w:noProof/>
            <w:webHidden/>
          </w:rPr>
          <w:t>5</w:t>
        </w:r>
        <w:r>
          <w:rPr>
            <w:noProof/>
            <w:webHidden/>
          </w:rPr>
          <w:fldChar w:fldCharType="end"/>
        </w:r>
      </w:hyperlink>
    </w:p>
    <w:p w14:paraId="635DB516" w14:textId="1FADD49A" w:rsidR="00994147" w:rsidRDefault="00994147">
      <w:pPr>
        <w:pStyle w:val="TOC1"/>
        <w:rPr>
          <w:rFonts w:eastAsiaTheme="minorEastAsia"/>
          <w:b w:val="0"/>
          <w:noProof/>
          <w:color w:val="auto"/>
          <w:kern w:val="2"/>
          <w:lang w:eastAsia="en-GB"/>
          <w14:ligatures w14:val="standardContextual"/>
        </w:rPr>
      </w:pPr>
      <w:hyperlink w:anchor="_Toc229036801" w:history="1">
        <w:r w:rsidRPr="002D4023">
          <w:rPr>
            <w:rStyle w:val="Hyperlink"/>
            <w:noProof/>
          </w:rPr>
          <w:t>5.</w:t>
        </w:r>
        <w:r>
          <w:rPr>
            <w:rFonts w:eastAsiaTheme="minorEastAsia"/>
            <w:b w:val="0"/>
            <w:noProof/>
            <w:color w:val="auto"/>
            <w:kern w:val="2"/>
            <w:lang w:eastAsia="en-GB"/>
            <w14:ligatures w14:val="standardContextual"/>
          </w:rPr>
          <w:tab/>
        </w:r>
        <w:r w:rsidRPr="002D4023">
          <w:rPr>
            <w:rStyle w:val="Hyperlink"/>
            <w:noProof/>
          </w:rPr>
          <w:t>Roles and Responsibilities</w:t>
        </w:r>
        <w:r>
          <w:rPr>
            <w:noProof/>
            <w:webHidden/>
          </w:rPr>
          <w:tab/>
        </w:r>
        <w:r>
          <w:rPr>
            <w:noProof/>
            <w:webHidden/>
          </w:rPr>
          <w:fldChar w:fldCharType="begin"/>
        </w:r>
        <w:r>
          <w:rPr>
            <w:noProof/>
            <w:webHidden/>
          </w:rPr>
          <w:instrText xml:space="preserve"> PAGEREF _Toc229036801 \h </w:instrText>
        </w:r>
        <w:r>
          <w:rPr>
            <w:noProof/>
            <w:webHidden/>
          </w:rPr>
        </w:r>
        <w:r>
          <w:rPr>
            <w:noProof/>
            <w:webHidden/>
          </w:rPr>
          <w:fldChar w:fldCharType="separate"/>
        </w:r>
        <w:r w:rsidR="00835BEA">
          <w:rPr>
            <w:noProof/>
            <w:webHidden/>
          </w:rPr>
          <w:t>5</w:t>
        </w:r>
        <w:r>
          <w:rPr>
            <w:noProof/>
            <w:webHidden/>
          </w:rPr>
          <w:fldChar w:fldCharType="end"/>
        </w:r>
      </w:hyperlink>
    </w:p>
    <w:p w14:paraId="1662AC88" w14:textId="2897350B" w:rsidR="00994147" w:rsidRDefault="00994147">
      <w:pPr>
        <w:pStyle w:val="TOC1"/>
        <w:rPr>
          <w:rFonts w:eastAsiaTheme="minorEastAsia"/>
          <w:b w:val="0"/>
          <w:noProof/>
          <w:color w:val="auto"/>
          <w:kern w:val="2"/>
          <w:lang w:eastAsia="en-GB"/>
          <w14:ligatures w14:val="standardContextual"/>
        </w:rPr>
      </w:pPr>
      <w:hyperlink w:anchor="_Toc229036803" w:history="1">
        <w:r w:rsidRPr="002D4023">
          <w:rPr>
            <w:rStyle w:val="Hyperlink"/>
            <w:noProof/>
          </w:rPr>
          <w:t>6.</w:t>
        </w:r>
        <w:r>
          <w:rPr>
            <w:rFonts w:eastAsiaTheme="minorEastAsia"/>
            <w:b w:val="0"/>
            <w:noProof/>
            <w:color w:val="auto"/>
            <w:kern w:val="2"/>
            <w:lang w:eastAsia="en-GB"/>
            <w14:ligatures w14:val="standardContextual"/>
          </w:rPr>
          <w:tab/>
        </w:r>
        <w:r w:rsidRPr="002D4023">
          <w:rPr>
            <w:rStyle w:val="Hyperlink"/>
            <w:noProof/>
          </w:rPr>
          <w:t>Policy Detail</w:t>
        </w:r>
        <w:r>
          <w:rPr>
            <w:noProof/>
            <w:webHidden/>
          </w:rPr>
          <w:tab/>
        </w:r>
        <w:r>
          <w:rPr>
            <w:noProof/>
            <w:webHidden/>
          </w:rPr>
          <w:fldChar w:fldCharType="begin"/>
        </w:r>
        <w:r>
          <w:rPr>
            <w:noProof/>
            <w:webHidden/>
          </w:rPr>
          <w:instrText xml:space="preserve"> PAGEREF _Toc229036803 \h </w:instrText>
        </w:r>
        <w:r>
          <w:rPr>
            <w:noProof/>
            <w:webHidden/>
          </w:rPr>
        </w:r>
        <w:r>
          <w:rPr>
            <w:noProof/>
            <w:webHidden/>
          </w:rPr>
          <w:fldChar w:fldCharType="separate"/>
        </w:r>
        <w:r w:rsidR="00835BEA">
          <w:rPr>
            <w:noProof/>
            <w:webHidden/>
          </w:rPr>
          <w:t>7</w:t>
        </w:r>
        <w:r>
          <w:rPr>
            <w:noProof/>
            <w:webHidden/>
          </w:rPr>
          <w:fldChar w:fldCharType="end"/>
        </w:r>
      </w:hyperlink>
    </w:p>
    <w:p w14:paraId="3E8C7E5E" w14:textId="21F0E5BE" w:rsidR="00994147" w:rsidRDefault="00994147">
      <w:pPr>
        <w:pStyle w:val="TOC1"/>
        <w:rPr>
          <w:rFonts w:eastAsiaTheme="minorEastAsia"/>
          <w:b w:val="0"/>
          <w:noProof/>
          <w:color w:val="auto"/>
          <w:kern w:val="2"/>
          <w:lang w:eastAsia="en-GB"/>
          <w14:ligatures w14:val="standardContextual"/>
        </w:rPr>
      </w:pPr>
      <w:hyperlink w:anchor="_Toc229036820" w:history="1">
        <w:r w:rsidRPr="002D4023">
          <w:rPr>
            <w:rStyle w:val="Hyperlink"/>
            <w:noProof/>
          </w:rPr>
          <w:t>7.</w:t>
        </w:r>
        <w:r>
          <w:rPr>
            <w:rFonts w:eastAsiaTheme="minorEastAsia"/>
            <w:b w:val="0"/>
            <w:noProof/>
            <w:color w:val="auto"/>
            <w:kern w:val="2"/>
            <w:lang w:eastAsia="en-GB"/>
            <w14:ligatures w14:val="standardContextual"/>
          </w:rPr>
          <w:tab/>
        </w:r>
        <w:r w:rsidRPr="002D4023">
          <w:rPr>
            <w:rStyle w:val="Hyperlink"/>
            <w:noProof/>
          </w:rPr>
          <w:t>Monitoring Compliance</w:t>
        </w:r>
        <w:r>
          <w:rPr>
            <w:noProof/>
            <w:webHidden/>
          </w:rPr>
          <w:tab/>
        </w:r>
        <w:r>
          <w:rPr>
            <w:noProof/>
            <w:webHidden/>
          </w:rPr>
          <w:fldChar w:fldCharType="begin"/>
        </w:r>
        <w:r>
          <w:rPr>
            <w:noProof/>
            <w:webHidden/>
          </w:rPr>
          <w:instrText xml:space="preserve"> PAGEREF _Toc229036820 \h </w:instrText>
        </w:r>
        <w:r>
          <w:rPr>
            <w:noProof/>
            <w:webHidden/>
          </w:rPr>
        </w:r>
        <w:r>
          <w:rPr>
            <w:noProof/>
            <w:webHidden/>
          </w:rPr>
          <w:fldChar w:fldCharType="separate"/>
        </w:r>
        <w:r w:rsidR="00835BEA">
          <w:rPr>
            <w:noProof/>
            <w:webHidden/>
          </w:rPr>
          <w:t>13</w:t>
        </w:r>
        <w:r>
          <w:rPr>
            <w:noProof/>
            <w:webHidden/>
          </w:rPr>
          <w:fldChar w:fldCharType="end"/>
        </w:r>
      </w:hyperlink>
    </w:p>
    <w:p w14:paraId="2ED8B278" w14:textId="751E8C21" w:rsidR="00994147" w:rsidRDefault="00994147">
      <w:pPr>
        <w:pStyle w:val="TOC1"/>
        <w:rPr>
          <w:rFonts w:eastAsiaTheme="minorEastAsia"/>
          <w:b w:val="0"/>
          <w:noProof/>
          <w:color w:val="auto"/>
          <w:kern w:val="2"/>
          <w:lang w:eastAsia="en-GB"/>
          <w14:ligatures w14:val="standardContextual"/>
        </w:rPr>
      </w:pPr>
      <w:hyperlink w:anchor="_Toc229036821" w:history="1">
        <w:r w:rsidRPr="002D4023">
          <w:rPr>
            <w:rStyle w:val="Hyperlink"/>
            <w:noProof/>
          </w:rPr>
          <w:t>8.</w:t>
        </w:r>
        <w:r>
          <w:rPr>
            <w:rFonts w:eastAsiaTheme="minorEastAsia"/>
            <w:b w:val="0"/>
            <w:noProof/>
            <w:color w:val="auto"/>
            <w:kern w:val="2"/>
            <w:lang w:eastAsia="en-GB"/>
            <w14:ligatures w14:val="standardContextual"/>
          </w:rPr>
          <w:tab/>
        </w:r>
        <w:r w:rsidRPr="002D4023">
          <w:rPr>
            <w:rStyle w:val="Hyperlink"/>
            <w:noProof/>
          </w:rPr>
          <w:t>Implementation and Staff Training</w:t>
        </w:r>
        <w:r>
          <w:rPr>
            <w:noProof/>
            <w:webHidden/>
          </w:rPr>
          <w:tab/>
        </w:r>
        <w:r>
          <w:rPr>
            <w:noProof/>
            <w:webHidden/>
          </w:rPr>
          <w:fldChar w:fldCharType="begin"/>
        </w:r>
        <w:r>
          <w:rPr>
            <w:noProof/>
            <w:webHidden/>
          </w:rPr>
          <w:instrText xml:space="preserve"> PAGEREF _Toc229036821 \h </w:instrText>
        </w:r>
        <w:r>
          <w:rPr>
            <w:noProof/>
            <w:webHidden/>
          </w:rPr>
        </w:r>
        <w:r>
          <w:rPr>
            <w:noProof/>
            <w:webHidden/>
          </w:rPr>
          <w:fldChar w:fldCharType="separate"/>
        </w:r>
        <w:r w:rsidR="00835BEA">
          <w:rPr>
            <w:noProof/>
            <w:webHidden/>
          </w:rPr>
          <w:t>13</w:t>
        </w:r>
        <w:r>
          <w:rPr>
            <w:noProof/>
            <w:webHidden/>
          </w:rPr>
          <w:fldChar w:fldCharType="end"/>
        </w:r>
      </w:hyperlink>
    </w:p>
    <w:p w14:paraId="4A4362A9" w14:textId="0CC0EEE2" w:rsidR="00994147" w:rsidRDefault="00994147">
      <w:pPr>
        <w:pStyle w:val="TOC1"/>
        <w:rPr>
          <w:rFonts w:eastAsiaTheme="minorEastAsia"/>
          <w:b w:val="0"/>
          <w:noProof/>
          <w:color w:val="auto"/>
          <w:kern w:val="2"/>
          <w:lang w:eastAsia="en-GB"/>
          <w14:ligatures w14:val="standardContextual"/>
        </w:rPr>
      </w:pPr>
      <w:hyperlink w:anchor="_Toc229036822" w:history="1">
        <w:r w:rsidRPr="002D4023">
          <w:rPr>
            <w:rStyle w:val="Hyperlink"/>
            <w:noProof/>
          </w:rPr>
          <w:t>9.</w:t>
        </w:r>
        <w:r>
          <w:rPr>
            <w:rFonts w:eastAsiaTheme="minorEastAsia"/>
            <w:b w:val="0"/>
            <w:noProof/>
            <w:color w:val="auto"/>
            <w:kern w:val="2"/>
            <w:lang w:eastAsia="en-GB"/>
            <w14:ligatures w14:val="standardContextual"/>
          </w:rPr>
          <w:tab/>
        </w:r>
        <w:r w:rsidRPr="002D4023">
          <w:rPr>
            <w:rStyle w:val="Hyperlink"/>
            <w:noProof/>
          </w:rPr>
          <w:t>Arrangements for Review</w:t>
        </w:r>
        <w:r>
          <w:rPr>
            <w:noProof/>
            <w:webHidden/>
          </w:rPr>
          <w:tab/>
        </w:r>
        <w:r>
          <w:rPr>
            <w:noProof/>
            <w:webHidden/>
          </w:rPr>
          <w:fldChar w:fldCharType="begin"/>
        </w:r>
        <w:r>
          <w:rPr>
            <w:noProof/>
            <w:webHidden/>
          </w:rPr>
          <w:instrText xml:space="preserve"> PAGEREF _Toc229036822 \h </w:instrText>
        </w:r>
        <w:r>
          <w:rPr>
            <w:noProof/>
            <w:webHidden/>
          </w:rPr>
        </w:r>
        <w:r>
          <w:rPr>
            <w:noProof/>
            <w:webHidden/>
          </w:rPr>
          <w:fldChar w:fldCharType="separate"/>
        </w:r>
        <w:r w:rsidR="00835BEA">
          <w:rPr>
            <w:noProof/>
            <w:webHidden/>
          </w:rPr>
          <w:t>13</w:t>
        </w:r>
        <w:r>
          <w:rPr>
            <w:noProof/>
            <w:webHidden/>
          </w:rPr>
          <w:fldChar w:fldCharType="end"/>
        </w:r>
      </w:hyperlink>
    </w:p>
    <w:p w14:paraId="162CC8A9" w14:textId="6C904A3C" w:rsidR="00994147" w:rsidRDefault="00994147">
      <w:pPr>
        <w:pStyle w:val="TOC1"/>
        <w:rPr>
          <w:rFonts w:eastAsiaTheme="minorEastAsia"/>
          <w:b w:val="0"/>
          <w:noProof/>
          <w:color w:val="auto"/>
          <w:kern w:val="2"/>
          <w:lang w:eastAsia="en-GB"/>
          <w14:ligatures w14:val="standardContextual"/>
        </w:rPr>
      </w:pPr>
      <w:hyperlink w:anchor="_Toc229036823" w:history="1">
        <w:r w:rsidRPr="002D4023">
          <w:rPr>
            <w:rStyle w:val="Hyperlink"/>
            <w:noProof/>
          </w:rPr>
          <w:t>10.</w:t>
        </w:r>
        <w:r>
          <w:rPr>
            <w:rFonts w:eastAsiaTheme="minorEastAsia"/>
            <w:b w:val="0"/>
            <w:noProof/>
            <w:color w:val="auto"/>
            <w:kern w:val="2"/>
            <w:lang w:eastAsia="en-GB"/>
            <w14:ligatures w14:val="standardContextual"/>
          </w:rPr>
          <w:tab/>
        </w:r>
        <w:r w:rsidRPr="002D4023">
          <w:rPr>
            <w:rStyle w:val="Hyperlink"/>
            <w:noProof/>
          </w:rPr>
          <w:t>Associated Policies, Guidance and Documents</w:t>
        </w:r>
        <w:r>
          <w:rPr>
            <w:noProof/>
            <w:webHidden/>
          </w:rPr>
          <w:tab/>
        </w:r>
        <w:r>
          <w:rPr>
            <w:noProof/>
            <w:webHidden/>
          </w:rPr>
          <w:fldChar w:fldCharType="begin"/>
        </w:r>
        <w:r>
          <w:rPr>
            <w:noProof/>
            <w:webHidden/>
          </w:rPr>
          <w:instrText xml:space="preserve"> PAGEREF _Toc229036823 \h </w:instrText>
        </w:r>
        <w:r>
          <w:rPr>
            <w:noProof/>
            <w:webHidden/>
          </w:rPr>
        </w:r>
        <w:r>
          <w:rPr>
            <w:noProof/>
            <w:webHidden/>
          </w:rPr>
          <w:fldChar w:fldCharType="separate"/>
        </w:r>
        <w:r w:rsidR="00835BEA">
          <w:rPr>
            <w:noProof/>
            <w:webHidden/>
          </w:rPr>
          <w:t>14</w:t>
        </w:r>
        <w:r>
          <w:rPr>
            <w:noProof/>
            <w:webHidden/>
          </w:rPr>
          <w:fldChar w:fldCharType="end"/>
        </w:r>
      </w:hyperlink>
    </w:p>
    <w:p w14:paraId="4F1AB803" w14:textId="2B4C0422" w:rsidR="00994147" w:rsidRDefault="00994147">
      <w:pPr>
        <w:pStyle w:val="TOC1"/>
        <w:rPr>
          <w:rFonts w:eastAsiaTheme="minorEastAsia"/>
          <w:b w:val="0"/>
          <w:noProof/>
          <w:color w:val="auto"/>
          <w:kern w:val="2"/>
          <w:lang w:eastAsia="en-GB"/>
          <w14:ligatures w14:val="standardContextual"/>
        </w:rPr>
      </w:pPr>
      <w:hyperlink w:anchor="_Toc229036824" w:history="1">
        <w:r w:rsidRPr="002D4023">
          <w:rPr>
            <w:rStyle w:val="Hyperlink"/>
            <w:noProof/>
          </w:rPr>
          <w:t>11.</w:t>
        </w:r>
        <w:r>
          <w:rPr>
            <w:rFonts w:eastAsiaTheme="minorEastAsia"/>
            <w:b w:val="0"/>
            <w:noProof/>
            <w:color w:val="auto"/>
            <w:kern w:val="2"/>
            <w:lang w:eastAsia="en-GB"/>
            <w14:ligatures w14:val="standardContextual"/>
          </w:rPr>
          <w:tab/>
        </w:r>
        <w:r w:rsidRPr="002D4023">
          <w:rPr>
            <w:rStyle w:val="Hyperlink"/>
            <w:noProof/>
          </w:rPr>
          <w:t>References</w:t>
        </w:r>
        <w:r>
          <w:rPr>
            <w:noProof/>
            <w:webHidden/>
          </w:rPr>
          <w:tab/>
        </w:r>
        <w:r>
          <w:rPr>
            <w:noProof/>
            <w:webHidden/>
          </w:rPr>
          <w:fldChar w:fldCharType="begin"/>
        </w:r>
        <w:r>
          <w:rPr>
            <w:noProof/>
            <w:webHidden/>
          </w:rPr>
          <w:instrText xml:space="preserve"> PAGEREF _Toc229036824 \h </w:instrText>
        </w:r>
        <w:r>
          <w:rPr>
            <w:noProof/>
            <w:webHidden/>
          </w:rPr>
        </w:r>
        <w:r>
          <w:rPr>
            <w:noProof/>
            <w:webHidden/>
          </w:rPr>
          <w:fldChar w:fldCharType="separate"/>
        </w:r>
        <w:r w:rsidR="00835BEA">
          <w:rPr>
            <w:noProof/>
            <w:webHidden/>
          </w:rPr>
          <w:t>14</w:t>
        </w:r>
        <w:r>
          <w:rPr>
            <w:noProof/>
            <w:webHidden/>
          </w:rPr>
          <w:fldChar w:fldCharType="end"/>
        </w:r>
      </w:hyperlink>
    </w:p>
    <w:p w14:paraId="4F1222E8" w14:textId="2F377061" w:rsidR="00994147" w:rsidRDefault="00994147">
      <w:pPr>
        <w:pStyle w:val="TOC1"/>
        <w:rPr>
          <w:rFonts w:eastAsiaTheme="minorEastAsia"/>
          <w:b w:val="0"/>
          <w:noProof/>
          <w:color w:val="auto"/>
          <w:kern w:val="2"/>
          <w:lang w:eastAsia="en-GB"/>
          <w14:ligatures w14:val="standardContextual"/>
        </w:rPr>
      </w:pPr>
      <w:hyperlink w:anchor="_Toc229036825" w:history="1">
        <w:r w:rsidRPr="002D4023">
          <w:rPr>
            <w:rStyle w:val="Hyperlink"/>
            <w:noProof/>
          </w:rPr>
          <w:t>12.</w:t>
        </w:r>
        <w:r>
          <w:rPr>
            <w:rFonts w:eastAsiaTheme="minorEastAsia"/>
            <w:b w:val="0"/>
            <w:noProof/>
            <w:color w:val="auto"/>
            <w:kern w:val="2"/>
            <w:lang w:eastAsia="en-GB"/>
            <w14:ligatures w14:val="standardContextual"/>
          </w:rPr>
          <w:tab/>
        </w:r>
        <w:r w:rsidRPr="002D4023">
          <w:rPr>
            <w:rStyle w:val="Hyperlink"/>
            <w:noProof/>
          </w:rPr>
          <w:t>Equality Impact Assessment</w:t>
        </w:r>
        <w:r>
          <w:rPr>
            <w:noProof/>
            <w:webHidden/>
          </w:rPr>
          <w:tab/>
        </w:r>
        <w:r>
          <w:rPr>
            <w:noProof/>
            <w:webHidden/>
          </w:rPr>
          <w:fldChar w:fldCharType="begin"/>
        </w:r>
        <w:r>
          <w:rPr>
            <w:noProof/>
            <w:webHidden/>
          </w:rPr>
          <w:instrText xml:space="preserve"> PAGEREF _Toc229036825 \h </w:instrText>
        </w:r>
        <w:r>
          <w:rPr>
            <w:noProof/>
            <w:webHidden/>
          </w:rPr>
        </w:r>
        <w:r>
          <w:rPr>
            <w:noProof/>
            <w:webHidden/>
          </w:rPr>
          <w:fldChar w:fldCharType="separate"/>
        </w:r>
        <w:r w:rsidR="00835BEA">
          <w:rPr>
            <w:noProof/>
            <w:webHidden/>
          </w:rPr>
          <w:t>15</w:t>
        </w:r>
        <w:r>
          <w:rPr>
            <w:noProof/>
            <w:webHidden/>
          </w:rPr>
          <w:fldChar w:fldCharType="end"/>
        </w:r>
      </w:hyperlink>
    </w:p>
    <w:p w14:paraId="2761E086" w14:textId="64FD7F0E" w:rsidR="005C527D" w:rsidRPr="00835BEA" w:rsidRDefault="00525089" w:rsidP="005C527D">
      <w:pPr>
        <w:pStyle w:val="TOC1"/>
        <w:rPr>
          <w:rFonts w:eastAsiaTheme="minorEastAsia"/>
          <w:bCs/>
          <w:noProof/>
          <w:color w:val="auto"/>
          <w:kern w:val="2"/>
          <w:lang w:eastAsia="en-GB"/>
          <w14:ligatures w14:val="standardContextual"/>
        </w:rPr>
      </w:pPr>
      <w:r w:rsidRPr="00525089">
        <w:rPr>
          <w:rFonts w:ascii="AppleSystemUIFont" w:hAnsi="AppleSystemUIFont" w:cs="AppleSystemUIFont"/>
          <w:b w:val="0"/>
          <w:sz w:val="26"/>
          <w:szCs w:val="26"/>
        </w:rPr>
        <w:fldChar w:fldCharType="end"/>
      </w:r>
      <w:r w:rsidR="00835BEA">
        <w:rPr>
          <w:rFonts w:eastAsiaTheme="minorEastAsia"/>
          <w:bCs/>
          <w:noProof/>
          <w:color w:val="auto"/>
          <w:kern w:val="2"/>
          <w:lang w:eastAsia="en-GB"/>
          <w14:ligatures w14:val="standardContextual"/>
        </w:rPr>
        <w:t>Appendix A</w:t>
      </w:r>
      <w:r w:rsidR="007840D8">
        <w:rPr>
          <w:rFonts w:eastAsiaTheme="minorEastAsia"/>
          <w:bCs/>
          <w:noProof/>
          <w:color w:val="auto"/>
          <w:kern w:val="2"/>
          <w:lang w:eastAsia="en-GB"/>
          <w14:ligatures w14:val="standardContextual"/>
        </w:rPr>
        <w:t xml:space="preserve"> – Equality Impact Assessment</w:t>
      </w:r>
      <w:r w:rsidR="007840D8">
        <w:rPr>
          <w:rFonts w:eastAsiaTheme="minorEastAsia"/>
          <w:bCs/>
          <w:noProof/>
          <w:color w:val="auto"/>
          <w:kern w:val="2"/>
          <w:lang w:eastAsia="en-GB"/>
          <w14:ligatures w14:val="standardContextual"/>
        </w:rPr>
        <w:tab/>
        <w:t>16</w:t>
      </w:r>
    </w:p>
    <w:p w14:paraId="0194879C" w14:textId="70EF46A6" w:rsidR="005C527D" w:rsidRDefault="005C527D" w:rsidP="005C527D">
      <w:pPr>
        <w:pStyle w:val="TOC1"/>
        <w:rPr>
          <w:rFonts w:eastAsiaTheme="minorEastAsia"/>
          <w:b w:val="0"/>
          <w:noProof/>
          <w:color w:val="auto"/>
          <w:kern w:val="2"/>
          <w:lang w:eastAsia="en-GB"/>
          <w14:ligatures w14:val="standardContextual"/>
        </w:rPr>
      </w:pPr>
    </w:p>
    <w:p w14:paraId="178F854A" w14:textId="3A2324EB" w:rsidR="00F40D75" w:rsidRPr="00F40D75" w:rsidRDefault="00F40D75" w:rsidP="008824FF">
      <w:pPr>
        <w:keepNext/>
        <w:keepLines/>
        <w:spacing w:before="240"/>
        <w:ind w:left="0"/>
        <w:outlineLvl w:val="0"/>
        <w:rPr>
          <w:rFonts w:ascii="AppleSystemUIFont" w:hAnsi="AppleSystemUIFont" w:cs="AppleSystemUIFont"/>
          <w:sz w:val="26"/>
          <w:szCs w:val="26"/>
        </w:rPr>
      </w:pPr>
      <w:r w:rsidRPr="00F40D75">
        <w:rPr>
          <w:rFonts w:ascii="AppleSystemUIFont" w:hAnsi="AppleSystemUIFont" w:cs="AppleSystemUIFont"/>
          <w:sz w:val="26"/>
          <w:szCs w:val="26"/>
        </w:rPr>
        <w:br w:type="page"/>
      </w:r>
    </w:p>
    <w:p w14:paraId="77F9215A" w14:textId="77777777" w:rsidR="00F40D75" w:rsidRPr="00F40D75" w:rsidRDefault="14663484" w:rsidP="6D9D960F">
      <w:pPr>
        <w:pStyle w:val="Heading2"/>
      </w:pPr>
      <w:bookmarkStart w:id="1" w:name="_Introduction"/>
      <w:bookmarkStart w:id="2" w:name="_Toc95149168"/>
      <w:bookmarkStart w:id="3" w:name="_Toc216880680"/>
      <w:bookmarkStart w:id="4" w:name="_Toc229036797"/>
      <w:bookmarkEnd w:id="1"/>
      <w:r>
        <w:lastRenderedPageBreak/>
        <w:t>Introduction</w:t>
      </w:r>
      <w:bookmarkEnd w:id="2"/>
      <w:bookmarkEnd w:id="3"/>
      <w:bookmarkEnd w:id="4"/>
    </w:p>
    <w:p w14:paraId="5AA393F5" w14:textId="77777777" w:rsidR="00851071" w:rsidRDefault="00851071" w:rsidP="00286242">
      <w:pPr>
        <w:pStyle w:val="Style1"/>
        <w:ind w:left="1134"/>
      </w:pPr>
      <w:r>
        <w:t>The Government is committed to giving patients greater choice and control over how they receive their healthcare.</w:t>
      </w:r>
    </w:p>
    <w:p w14:paraId="506FFB4A" w14:textId="77777777" w:rsidR="00851071" w:rsidRDefault="00851071" w:rsidP="00286242">
      <w:pPr>
        <w:pStyle w:val="Style1"/>
        <w:ind w:left="1134"/>
      </w:pPr>
      <w:r>
        <w:t>This commitment is reflected in the </w:t>
      </w:r>
      <w:hyperlink r:id="rId18" w:history="1">
        <w:r w:rsidRPr="00877B91">
          <w:rPr>
            <w:rStyle w:val="Hyperlink"/>
            <w:rFonts w:ascii="Arial" w:hAnsi="Arial" w:cs="Arial"/>
            <w:color w:val="auto"/>
            <w:u w:val="none"/>
          </w:rPr>
          <w:t>NHS Constitution for England</w:t>
        </w:r>
      </w:hyperlink>
      <w:r>
        <w:t>. The constitution establishes the principles and values of the NHS in England. It sets out:</w:t>
      </w:r>
    </w:p>
    <w:p w14:paraId="73082530" w14:textId="77777777" w:rsidR="00851071" w:rsidRPr="00877B91" w:rsidRDefault="00851071" w:rsidP="00851071">
      <w:pPr>
        <w:pStyle w:val="ListParagraph"/>
        <w:widowControl w:val="0"/>
        <w:numPr>
          <w:ilvl w:val="1"/>
          <w:numId w:val="29"/>
        </w:numPr>
        <w:autoSpaceDE w:val="0"/>
        <w:autoSpaceDN w:val="0"/>
        <w:spacing w:before="1" w:after="0" w:line="293" w:lineRule="exact"/>
        <w:ind w:left="1701" w:right="-46" w:hanging="567"/>
        <w:contextualSpacing w:val="0"/>
      </w:pPr>
      <w:r w:rsidRPr="00877B91">
        <w:t>rights that patients, the public and staff are entitled to</w:t>
      </w:r>
    </w:p>
    <w:p w14:paraId="1A87A471" w14:textId="77777777" w:rsidR="00851071" w:rsidRPr="00877B91" w:rsidRDefault="00851071" w:rsidP="00851071">
      <w:pPr>
        <w:pStyle w:val="ListParagraph"/>
        <w:widowControl w:val="0"/>
        <w:numPr>
          <w:ilvl w:val="1"/>
          <w:numId w:val="29"/>
        </w:numPr>
        <w:autoSpaceDE w:val="0"/>
        <w:autoSpaceDN w:val="0"/>
        <w:spacing w:before="1" w:after="0" w:line="293" w:lineRule="exact"/>
        <w:ind w:left="1701" w:right="-46" w:hanging="567"/>
        <w:contextualSpacing w:val="0"/>
      </w:pPr>
      <w:r w:rsidRPr="00877B91">
        <w:t>pledges that the NHS is committed to achieving</w:t>
      </w:r>
    </w:p>
    <w:p w14:paraId="60BC3C38" w14:textId="77777777" w:rsidR="00851071" w:rsidRPr="00877B91" w:rsidRDefault="00851071" w:rsidP="00851071">
      <w:pPr>
        <w:pStyle w:val="ListParagraph"/>
        <w:widowControl w:val="0"/>
        <w:numPr>
          <w:ilvl w:val="1"/>
          <w:numId w:val="29"/>
        </w:numPr>
        <w:autoSpaceDE w:val="0"/>
        <w:autoSpaceDN w:val="0"/>
        <w:spacing w:before="1" w:after="0" w:line="293" w:lineRule="exact"/>
        <w:ind w:left="1701" w:right="-46" w:hanging="567"/>
        <w:contextualSpacing w:val="0"/>
      </w:pPr>
      <w:r w:rsidRPr="00877B91">
        <w:t>responsibilities that the public, patients and staff owe to one another to ensure that the NHS operates fairly and effectively</w:t>
      </w:r>
    </w:p>
    <w:p w14:paraId="305F20E3" w14:textId="77777777" w:rsidR="00851071" w:rsidRDefault="00851071" w:rsidP="00286242">
      <w:pPr>
        <w:pStyle w:val="Style1"/>
        <w:ind w:left="1134"/>
      </w:pPr>
      <w:r>
        <w:t>The constitution makes clear that “you have the right to make choices about the services commissioned by NHS bodies and to information to support these choices”. It also pledges to “inform you about the healthcare services available to you, locally and nationally” and to “offer you easily accessible, reliable and relevant information in a form you can understand, and support to use it […] to enable you to participate fully in your own healthcare decisions and to support you in making choices”.</w:t>
      </w:r>
    </w:p>
    <w:p w14:paraId="6722E9E7" w14:textId="7D56BCBE" w:rsidR="00DB3FB7" w:rsidRDefault="00EA49A2" w:rsidP="00286242">
      <w:pPr>
        <w:pStyle w:val="Style1"/>
        <w:ind w:left="1134"/>
      </w:pPr>
      <w:r>
        <w:t xml:space="preserve">This is a controlled document. </w:t>
      </w:r>
      <w:r w:rsidRPr="00A320E8">
        <w:t xml:space="preserve">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1D430B83" w14:textId="77777777" w:rsidR="00F40D75" w:rsidRPr="00F40D75" w:rsidRDefault="14663484" w:rsidP="00F40D75">
      <w:pPr>
        <w:pStyle w:val="Heading2"/>
      </w:pPr>
      <w:bookmarkStart w:id="5" w:name="_Purpose_/_Policy"/>
      <w:bookmarkStart w:id="6" w:name="_Toc95149169"/>
      <w:bookmarkStart w:id="7" w:name="_Toc216880681"/>
      <w:bookmarkStart w:id="8" w:name="_Toc229036798"/>
      <w:bookmarkEnd w:id="5"/>
      <w:r>
        <w:t>Purpose / Policy Statement</w:t>
      </w:r>
      <w:bookmarkEnd w:id="6"/>
      <w:bookmarkEnd w:id="7"/>
      <w:bookmarkEnd w:id="8"/>
    </w:p>
    <w:p w14:paraId="42668EC1" w14:textId="77777777" w:rsidR="00B40521" w:rsidRPr="00C52E95" w:rsidRDefault="00B40521" w:rsidP="00286242">
      <w:pPr>
        <w:pStyle w:val="Style1"/>
        <w:ind w:left="1134"/>
      </w:pPr>
      <w:bookmarkStart w:id="9" w:name="_Toc95149170"/>
      <w:bookmarkStart w:id="10" w:name="_Toc216880682"/>
      <w:r w:rsidRPr="00C52E95">
        <w:t xml:space="preserve">This Policy is to </w:t>
      </w:r>
      <w:r>
        <w:t xml:space="preserve">clarify </w:t>
      </w:r>
      <w:r w:rsidRPr="00C52E95">
        <w:t xml:space="preserve">the choices that people have and can make about their personal healthcare and treatment. </w:t>
      </w:r>
    </w:p>
    <w:p w14:paraId="737F597A" w14:textId="77777777" w:rsidR="00B40521" w:rsidRPr="00C52E95" w:rsidRDefault="00B40521" w:rsidP="00286242">
      <w:pPr>
        <w:pStyle w:val="Style1"/>
        <w:ind w:left="1134"/>
      </w:pPr>
      <w:r w:rsidRPr="00C52E95">
        <w:t xml:space="preserve">Every individual has a right to make informed choices about their healthcare and be offered the opportunity to compare and make choice decisions based on their individual needs. </w:t>
      </w:r>
    </w:p>
    <w:p w14:paraId="77989594" w14:textId="39BE185A" w:rsidR="00B40521" w:rsidRPr="00C52E95" w:rsidRDefault="00B40521" w:rsidP="00286242">
      <w:pPr>
        <w:pStyle w:val="Style1"/>
        <w:ind w:left="1134"/>
      </w:pPr>
      <w:r w:rsidRPr="00C52E95">
        <w:t xml:space="preserve">NHS Essex Integrated Care Board has an ambition to provide as much choice as possible for people when they need to access NHS support.    </w:t>
      </w:r>
    </w:p>
    <w:p w14:paraId="33AF3D23" w14:textId="77777777" w:rsidR="00B40521" w:rsidRPr="00C52E95" w:rsidRDefault="00B40521" w:rsidP="00286242">
      <w:pPr>
        <w:pStyle w:val="Style1"/>
        <w:ind w:left="1134"/>
      </w:pPr>
      <w:r w:rsidRPr="00C52E95">
        <w:t>Since the introduction of Patient Choice, the NHS set out the vision of ‘</w:t>
      </w:r>
      <w:r w:rsidRPr="00C52E95">
        <w:rPr>
          <w:i/>
        </w:rPr>
        <w:t>a health service designed around the patient’.</w:t>
      </w:r>
      <w:r w:rsidRPr="00C52E95">
        <w:t xml:space="preserve"> The Department of Health and Social Care and NHS England ha</w:t>
      </w:r>
      <w:r>
        <w:t>ve</w:t>
      </w:r>
      <w:r w:rsidRPr="00C52E95">
        <w:t xml:space="preserve"> published a succession of White Papers and policy documentation to move forward the vision to deliver a person-centred health service.   </w:t>
      </w:r>
    </w:p>
    <w:p w14:paraId="53EB2F53" w14:textId="77777777" w:rsidR="00F40D75" w:rsidRPr="00F40D75" w:rsidRDefault="00F40D75" w:rsidP="00F40D75">
      <w:pPr>
        <w:pStyle w:val="Heading2"/>
      </w:pPr>
      <w:bookmarkStart w:id="11" w:name="_Scope"/>
      <w:bookmarkStart w:id="12" w:name="_Toc229036799"/>
      <w:bookmarkEnd w:id="11"/>
      <w:r w:rsidRPr="00F40D75">
        <w:lastRenderedPageBreak/>
        <w:t>Scope</w:t>
      </w:r>
      <w:bookmarkEnd w:id="9"/>
      <w:bookmarkEnd w:id="10"/>
      <w:bookmarkEnd w:id="12"/>
    </w:p>
    <w:p w14:paraId="61FA6BE0" w14:textId="08686297" w:rsidR="00C869D7" w:rsidRPr="00F40D75" w:rsidRDefault="00C869D7" w:rsidP="00286242">
      <w:pPr>
        <w:pStyle w:val="Style1"/>
        <w:ind w:left="1134"/>
      </w:pPr>
      <w:bookmarkStart w:id="13" w:name="_Toc95149171"/>
      <w:bookmarkStart w:id="14" w:name="_Toc216880683"/>
      <w:r w:rsidRPr="00F40D75">
        <w:t xml:space="preserve">This policy applies to </w:t>
      </w:r>
      <w:r>
        <w:t>a</w:t>
      </w:r>
      <w:r w:rsidRPr="008B16D6">
        <w:t>ny patient</w:t>
      </w:r>
      <w:r>
        <w:t>, carer or service user</w:t>
      </w:r>
      <w:r w:rsidRPr="008B16D6">
        <w:t xml:space="preserve"> in circumstances where Essex Integrated Care Board is the responsible commissioner for their NHS care. </w:t>
      </w:r>
      <w:r>
        <w:t xml:space="preserve">This policy applies to providers (primary and secondary) of services for patients, carers and service users in Essex and </w:t>
      </w:r>
      <w:r w:rsidRPr="00F40D75">
        <w:t>all ICB Board members and staff (including temporary/bank/agency/work experience staff, students and volunteers).</w:t>
      </w:r>
    </w:p>
    <w:p w14:paraId="4AFAC94A" w14:textId="77777777" w:rsidR="00F40D75" w:rsidRPr="00F40D75" w:rsidRDefault="00F40D75" w:rsidP="00F40D75">
      <w:pPr>
        <w:pStyle w:val="Heading2"/>
      </w:pPr>
      <w:bookmarkStart w:id="15" w:name="_Toc229036800"/>
      <w:r w:rsidRPr="00F40D75">
        <w:t>Definitions</w:t>
      </w:r>
      <w:bookmarkEnd w:id="13"/>
      <w:bookmarkEnd w:id="14"/>
      <w:bookmarkEnd w:id="15"/>
    </w:p>
    <w:p w14:paraId="3651E43A" w14:textId="77777777" w:rsidR="003A0831" w:rsidRDefault="003A0831" w:rsidP="003A0831">
      <w:pPr>
        <w:pStyle w:val="ListParagraph"/>
        <w:numPr>
          <w:ilvl w:val="0"/>
          <w:numId w:val="23"/>
        </w:numPr>
        <w:spacing w:before="100" w:beforeAutospacing="1" w:after="100" w:afterAutospacing="1"/>
        <w:ind w:left="1418" w:hanging="283"/>
      </w:pPr>
      <w:bookmarkStart w:id="16" w:name="_Toc95149172"/>
      <w:bookmarkStart w:id="17" w:name="_Toc216880684"/>
      <w:r w:rsidRPr="00875837">
        <w:rPr>
          <w:b/>
          <w:bCs/>
        </w:rPr>
        <w:t>Electronic Referral Service (e-RS)</w:t>
      </w:r>
      <w:r w:rsidRPr="00814E5E">
        <w:t xml:space="preserve"> </w:t>
      </w:r>
      <w:r>
        <w:t xml:space="preserve">- </w:t>
      </w:r>
      <w:r w:rsidRPr="00814E5E">
        <w:t>e-RS is a national service that combines electronic booking and a choice of provider</w:t>
      </w:r>
      <w:r>
        <w:t>.</w:t>
      </w:r>
      <w:r w:rsidRPr="00814E5E">
        <w:t xml:space="preserve"> </w:t>
      </w:r>
    </w:p>
    <w:p w14:paraId="7EAD571D" w14:textId="77777777" w:rsidR="003A0831" w:rsidRDefault="003A0831" w:rsidP="003A0831">
      <w:pPr>
        <w:pStyle w:val="ListParagraph"/>
        <w:numPr>
          <w:ilvl w:val="0"/>
          <w:numId w:val="23"/>
        </w:numPr>
        <w:spacing w:before="100" w:beforeAutospacing="1" w:after="100" w:afterAutospacing="1"/>
        <w:ind w:left="1418" w:hanging="283"/>
      </w:pPr>
      <w:r w:rsidRPr="00875837">
        <w:rPr>
          <w:b/>
          <w:bCs/>
        </w:rPr>
        <w:t>Integrated Care Boards</w:t>
      </w:r>
      <w:r w:rsidRPr="00814E5E">
        <w:t xml:space="preserve"> </w:t>
      </w:r>
      <w:r>
        <w:t xml:space="preserve">- </w:t>
      </w:r>
      <w:r w:rsidRPr="00814E5E">
        <w:t>Previously called Clinical Commissioning Groups, Integrated Care Boards are responsible for designing and planning local health services In England, working with patients and healthcare professionals and in partnership with local communities and local authorities.</w:t>
      </w:r>
    </w:p>
    <w:p w14:paraId="5AF3EFC4" w14:textId="77777777" w:rsidR="003A0831" w:rsidRDefault="003A0831" w:rsidP="003A0831">
      <w:pPr>
        <w:pStyle w:val="ListParagraph"/>
        <w:numPr>
          <w:ilvl w:val="0"/>
          <w:numId w:val="23"/>
        </w:numPr>
        <w:spacing w:before="100" w:beforeAutospacing="1" w:after="100" w:afterAutospacing="1"/>
        <w:ind w:left="1418" w:hanging="283"/>
      </w:pPr>
      <w:r w:rsidRPr="00875837">
        <w:rPr>
          <w:b/>
          <w:bCs/>
        </w:rPr>
        <w:t>Commissioning</w:t>
      </w:r>
      <w:r>
        <w:t xml:space="preserve"> - </w:t>
      </w:r>
      <w:r w:rsidRPr="00814E5E">
        <w:t>Commissioning in the NHS describes the process of ensuring that the health and care services provided effectively meet the needs of the population.</w:t>
      </w:r>
    </w:p>
    <w:p w14:paraId="5B421256" w14:textId="77777777" w:rsidR="003A0831" w:rsidRDefault="003A0831" w:rsidP="003A0831">
      <w:pPr>
        <w:pStyle w:val="ListParagraph"/>
        <w:numPr>
          <w:ilvl w:val="0"/>
          <w:numId w:val="23"/>
        </w:numPr>
        <w:spacing w:before="100" w:beforeAutospacing="1" w:after="100" w:afterAutospacing="1"/>
        <w:ind w:left="1418" w:hanging="283"/>
      </w:pPr>
      <w:r w:rsidRPr="00875837">
        <w:rPr>
          <w:b/>
          <w:bCs/>
        </w:rPr>
        <w:t>General Practitioner (GP)</w:t>
      </w:r>
      <w:r>
        <w:t xml:space="preserve"> - </w:t>
      </w:r>
      <w:r w:rsidRPr="00814E5E">
        <w:t xml:space="preserve">GPs diagnose and treat a wide range of health conditions in primary care (from physical, emotional, or social causes). They talk to patients and examine them to diagnose their condition, and may prescribe medicine or treatment, perform minor surgery, or advise patients on health issues, promoting healthy lifestyles and prevention of illness. They also decide whether a patient needs to be referred to other healthcare professionals for further investigations or treatment.   </w:t>
      </w:r>
    </w:p>
    <w:p w14:paraId="10C648CF" w14:textId="77777777" w:rsidR="003A0831" w:rsidRDefault="003A0831" w:rsidP="003A0831">
      <w:pPr>
        <w:pStyle w:val="ListParagraph"/>
        <w:numPr>
          <w:ilvl w:val="0"/>
          <w:numId w:val="23"/>
        </w:numPr>
        <w:spacing w:before="100" w:beforeAutospacing="1" w:after="100" w:afterAutospacing="1"/>
        <w:ind w:left="1418" w:hanging="283"/>
      </w:pPr>
      <w:r w:rsidRPr="00875837">
        <w:rPr>
          <w:b/>
          <w:bCs/>
        </w:rPr>
        <w:t>National Health Service (NHS)</w:t>
      </w:r>
      <w:r>
        <w:t xml:space="preserve"> - </w:t>
      </w:r>
      <w:r w:rsidRPr="00814E5E">
        <w:t xml:space="preserve">The NHS is the publicly funded healthcare system in the United Kingdom which provides healthcare to anyone normally resident in the United Kingdom with services free at the point of use. </w:t>
      </w:r>
    </w:p>
    <w:p w14:paraId="21E3DF54" w14:textId="77777777" w:rsidR="003A0831" w:rsidRDefault="003A0831" w:rsidP="003A0831">
      <w:pPr>
        <w:pStyle w:val="ListParagraph"/>
        <w:numPr>
          <w:ilvl w:val="0"/>
          <w:numId w:val="23"/>
        </w:numPr>
        <w:spacing w:before="100" w:beforeAutospacing="1" w:after="100" w:afterAutospacing="1"/>
        <w:ind w:left="1418" w:hanging="283"/>
      </w:pPr>
      <w:r w:rsidRPr="00875837">
        <w:rPr>
          <w:b/>
          <w:bCs/>
        </w:rPr>
        <w:t>Personal Health Budgets (PHB)</w:t>
      </w:r>
      <w:r>
        <w:t xml:space="preserve"> - </w:t>
      </w:r>
      <w:r w:rsidRPr="00875837">
        <w:rPr>
          <w:color w:val="212B32"/>
        </w:rPr>
        <w:t>A personal health budget is an amount of money to support health and wellbeing needs, which is planned and agreed between the patient and the local NHS team. It is not new money, but it may mean spending money differently so that you can get the care that you need.</w:t>
      </w:r>
      <w:r w:rsidRPr="00814E5E">
        <w:t xml:space="preserve"> </w:t>
      </w:r>
    </w:p>
    <w:p w14:paraId="03DAB5D5" w14:textId="281A1041" w:rsidR="00F40D75" w:rsidRPr="00F40D75" w:rsidRDefault="00F40D75" w:rsidP="00F40D75">
      <w:pPr>
        <w:pStyle w:val="Heading2"/>
      </w:pPr>
      <w:bookmarkStart w:id="18" w:name="_Toc229036801"/>
      <w:r w:rsidRPr="00F40D75">
        <w:t>Roles and Responsibilities</w:t>
      </w:r>
      <w:bookmarkEnd w:id="16"/>
      <w:bookmarkEnd w:id="17"/>
      <w:bookmarkEnd w:id="18"/>
    </w:p>
    <w:p w14:paraId="73B271A2" w14:textId="77777777" w:rsidR="00F40D75" w:rsidRPr="00F40D75" w:rsidRDefault="00F40D75" w:rsidP="00286242">
      <w:pPr>
        <w:pStyle w:val="Style1"/>
        <w:ind w:left="1134"/>
        <w:rPr>
          <w:b/>
          <w:bCs/>
        </w:rPr>
      </w:pPr>
      <w:bookmarkStart w:id="19" w:name="_Toc95149173"/>
      <w:r w:rsidRPr="00F40D75">
        <w:rPr>
          <w:b/>
          <w:bCs/>
        </w:rPr>
        <w:t>Integrated Care Board</w:t>
      </w:r>
      <w:bookmarkEnd w:id="19"/>
    </w:p>
    <w:p w14:paraId="7AE74072" w14:textId="77777777" w:rsidR="00EE1BEA" w:rsidRPr="00F40D75" w:rsidRDefault="00EE1BEA" w:rsidP="00EE1BEA">
      <w:pPr>
        <w:pStyle w:val="Style2"/>
        <w:contextualSpacing w:val="0"/>
      </w:pPr>
      <w:bookmarkStart w:id="20" w:name="_Toc95149174"/>
      <w:r>
        <w:t>The Integrated Care Board is responsible for ensuring the ICB meets its statutory responsibilities in line with the National Framework for Patient Choice</w:t>
      </w:r>
      <w:r w:rsidRPr="00F40D75">
        <w:t>.</w:t>
      </w:r>
    </w:p>
    <w:p w14:paraId="1EFCF405" w14:textId="123C3843" w:rsidR="007857E8" w:rsidRPr="00684560" w:rsidRDefault="001F56B9" w:rsidP="00286242">
      <w:pPr>
        <w:pStyle w:val="Style1"/>
        <w:ind w:left="1134"/>
        <w:rPr>
          <w:b/>
          <w:bCs/>
        </w:rPr>
      </w:pPr>
      <w:r>
        <w:rPr>
          <w:b/>
          <w:bCs/>
          <w:color w:val="auto"/>
        </w:rPr>
        <w:lastRenderedPageBreak/>
        <w:t>Commissioning, Quality and Resources</w:t>
      </w:r>
      <w:r w:rsidR="00F10B7C" w:rsidRPr="00F10B7C">
        <w:rPr>
          <w:b/>
          <w:bCs/>
          <w:color w:val="auto"/>
        </w:rPr>
        <w:t xml:space="preserve"> Committee </w:t>
      </w:r>
      <w:bookmarkStart w:id="21" w:name="_Toc95149175"/>
      <w:bookmarkEnd w:id="20"/>
    </w:p>
    <w:bookmarkEnd w:id="21"/>
    <w:p w14:paraId="4F6F403A" w14:textId="77777777" w:rsidR="009576CB" w:rsidRPr="004C0EA4" w:rsidRDefault="009576CB" w:rsidP="009576CB">
      <w:pPr>
        <w:pStyle w:val="Style2"/>
        <w:contextualSpacing w:val="0"/>
      </w:pPr>
      <w:r>
        <w:t xml:space="preserve">The </w:t>
      </w:r>
      <w:r w:rsidRPr="001F56B9">
        <w:rPr>
          <w:color w:val="auto"/>
        </w:rPr>
        <w:t>Commissioning, Quality and Resources Committee</w:t>
      </w:r>
      <w:r>
        <w:rPr>
          <w:b/>
          <w:bCs/>
          <w:color w:val="auto"/>
        </w:rPr>
        <w:t xml:space="preserve"> </w:t>
      </w:r>
      <w:r>
        <w:t>is the sponsoring committee for this policy.</w:t>
      </w:r>
    </w:p>
    <w:p w14:paraId="4410B573" w14:textId="39E9773C" w:rsidR="00DB64EF" w:rsidRPr="000569A3" w:rsidRDefault="00DB64EF" w:rsidP="000569A3">
      <w:pPr>
        <w:pStyle w:val="Style2"/>
        <w:contextualSpacing w:val="0"/>
      </w:pPr>
      <w:r>
        <w:t xml:space="preserve">The </w:t>
      </w:r>
      <w:r w:rsidR="001F56B9" w:rsidRPr="000569A3">
        <w:t>Commissioning, Quality and Resources Committee</w:t>
      </w:r>
      <w:r w:rsidRPr="000569A3">
        <w:t> </w:t>
      </w:r>
      <w:r>
        <w:t xml:space="preserve">is </w:t>
      </w:r>
      <w:r w:rsidR="0024163C">
        <w:t xml:space="preserve">also </w:t>
      </w:r>
      <w:r>
        <w:t>r</w:t>
      </w:r>
      <w:r w:rsidRPr="004C0EA4">
        <w:t xml:space="preserve">esponsible for overseeing continued improvement in the quality of services, quality governance and oversight of Equality/Health Inequality Impact </w:t>
      </w:r>
      <w:r w:rsidRPr="00D648C0">
        <w:t>Assessments</w:t>
      </w:r>
      <w:r>
        <w:t>, associated with this policy.</w:t>
      </w:r>
    </w:p>
    <w:p w14:paraId="7926C00A" w14:textId="77777777" w:rsidR="001B092D" w:rsidRPr="00F40D75" w:rsidRDefault="001B092D" w:rsidP="001B092D">
      <w:pPr>
        <w:pStyle w:val="Heading3"/>
      </w:pPr>
      <w:bookmarkStart w:id="22" w:name="_Toc229036802"/>
      <w:r>
        <w:t>Improving Referrals Steering Group</w:t>
      </w:r>
      <w:bookmarkEnd w:id="22"/>
      <w:r>
        <w:t xml:space="preserve"> </w:t>
      </w:r>
    </w:p>
    <w:p w14:paraId="7D72D8CB" w14:textId="77777777" w:rsidR="00BE2C0D" w:rsidRPr="004C0EA4" w:rsidRDefault="00BE2C0D" w:rsidP="00BE2C0D">
      <w:pPr>
        <w:pStyle w:val="Style2"/>
        <w:contextualSpacing w:val="0"/>
      </w:pPr>
      <w:bookmarkStart w:id="23" w:name="_Toc95149176"/>
      <w:r>
        <w:t>The Improving Referrals Steering Group is r</w:t>
      </w:r>
      <w:r w:rsidRPr="004C0EA4">
        <w:t xml:space="preserve">esponsible for overseeing continued improvement in </w:t>
      </w:r>
      <w:r>
        <w:t>the referrals systems to enhance patient experience and health outcomes.</w:t>
      </w:r>
    </w:p>
    <w:p w14:paraId="5BD44934" w14:textId="77777777" w:rsidR="00F40D75" w:rsidRPr="00F40D75" w:rsidRDefault="00F40D75" w:rsidP="006742C1">
      <w:pPr>
        <w:pStyle w:val="Style1"/>
        <w:ind w:left="1134"/>
        <w:rPr>
          <w:b/>
          <w:bCs/>
        </w:rPr>
      </w:pPr>
      <w:r w:rsidRPr="00F40D75">
        <w:rPr>
          <w:b/>
          <w:bCs/>
        </w:rPr>
        <w:t>Chief Executive</w:t>
      </w:r>
      <w:bookmarkEnd w:id="23"/>
    </w:p>
    <w:p w14:paraId="41F4F861" w14:textId="77777777" w:rsidR="0010482B" w:rsidRPr="00F40D75" w:rsidRDefault="0010482B" w:rsidP="0010482B">
      <w:pPr>
        <w:pStyle w:val="Style2"/>
        <w:contextualSpacing w:val="0"/>
      </w:pPr>
      <w:bookmarkStart w:id="24" w:name="_Toc95149177"/>
      <w:r>
        <w:t xml:space="preserve">The Chief Executive is responsible for ensuring the ICB meets its statutory responsibilities in line with the National Framework for Patient Choice through oversight of the associated teams within in the ICB. </w:t>
      </w:r>
    </w:p>
    <w:p w14:paraId="58A05115" w14:textId="77777777" w:rsidR="00F40D75" w:rsidRPr="00F40D75" w:rsidRDefault="00F40D75" w:rsidP="006742C1">
      <w:pPr>
        <w:pStyle w:val="Style1"/>
        <w:ind w:left="1134"/>
        <w:rPr>
          <w:b/>
          <w:bCs/>
        </w:rPr>
      </w:pPr>
      <w:r w:rsidRPr="00F40D75">
        <w:rPr>
          <w:b/>
          <w:bCs/>
        </w:rPr>
        <w:t>Policy Authors</w:t>
      </w:r>
      <w:bookmarkEnd w:id="24"/>
    </w:p>
    <w:p w14:paraId="310C79FC" w14:textId="77777777" w:rsidR="00E412A5" w:rsidRDefault="00E412A5" w:rsidP="00E412A5">
      <w:pPr>
        <w:pStyle w:val="Style2"/>
        <w:contextualSpacing w:val="0"/>
      </w:pPr>
      <w:bookmarkStart w:id="25" w:name="_Toc84611053"/>
      <w:bookmarkStart w:id="26" w:name="_Toc95149178"/>
      <w:bookmarkStart w:id="27" w:name="_Toc95149179"/>
      <w:r>
        <w:t>The Policy Author is responsible for:</w:t>
      </w:r>
    </w:p>
    <w:p w14:paraId="46B08F50" w14:textId="77777777" w:rsidR="00E412A5" w:rsidRDefault="00E412A5" w:rsidP="00E412A5">
      <w:pPr>
        <w:pStyle w:val="ListParagraph"/>
        <w:widowControl w:val="0"/>
        <w:numPr>
          <w:ilvl w:val="1"/>
          <w:numId w:val="29"/>
        </w:numPr>
        <w:autoSpaceDE w:val="0"/>
        <w:autoSpaceDN w:val="0"/>
        <w:spacing w:before="1" w:after="0" w:line="293" w:lineRule="exact"/>
        <w:ind w:left="1701" w:right="-46" w:hanging="567"/>
        <w:contextualSpacing w:val="0"/>
      </w:pPr>
      <w:r>
        <w:t>ensuring that all key stakeholders have been engaged in the development of this policy, adhering to ICB governance arrangements.</w:t>
      </w:r>
    </w:p>
    <w:p w14:paraId="7E76D6F0" w14:textId="77777777" w:rsidR="00E412A5" w:rsidRDefault="00E412A5" w:rsidP="00E412A5">
      <w:pPr>
        <w:pStyle w:val="ListParagraph"/>
        <w:widowControl w:val="0"/>
        <w:numPr>
          <w:ilvl w:val="1"/>
          <w:numId w:val="29"/>
        </w:numPr>
        <w:autoSpaceDE w:val="0"/>
        <w:autoSpaceDN w:val="0"/>
        <w:spacing w:before="1" w:after="0" w:line="293" w:lineRule="exact"/>
        <w:ind w:left="1701" w:right="-46" w:hanging="567"/>
        <w:contextualSpacing w:val="0"/>
      </w:pPr>
      <w:r>
        <w:t>ensuring that all stakeholders are aware of the purpose and aims of this policy and that the appropriate governance arrangements are in place to support compliance.</w:t>
      </w:r>
    </w:p>
    <w:p w14:paraId="50C38043" w14:textId="5E24B111" w:rsidR="00DB64EF" w:rsidRPr="00A42951" w:rsidRDefault="00E412A5" w:rsidP="00A42951">
      <w:pPr>
        <w:pStyle w:val="ListParagraph"/>
        <w:widowControl w:val="0"/>
        <w:numPr>
          <w:ilvl w:val="1"/>
          <w:numId w:val="29"/>
        </w:numPr>
        <w:autoSpaceDE w:val="0"/>
        <w:autoSpaceDN w:val="0"/>
        <w:spacing w:before="1" w:after="0" w:line="293" w:lineRule="exact"/>
        <w:ind w:left="1701" w:right="-46" w:hanging="567"/>
        <w:contextualSpacing w:val="0"/>
      </w:pPr>
      <w:r>
        <w:t>ensuring that the policy remains up to date and that associated procedures are communicated to all ICB staff and stakeholders.</w:t>
      </w:r>
      <w:bookmarkStart w:id="28" w:name="_Toc95149180"/>
      <w:bookmarkEnd w:id="25"/>
      <w:bookmarkEnd w:id="26"/>
      <w:bookmarkEnd w:id="27"/>
    </w:p>
    <w:p w14:paraId="38758C00" w14:textId="51F4367C" w:rsidR="00371134" w:rsidRPr="00F40D75" w:rsidRDefault="00371134" w:rsidP="006742C1">
      <w:pPr>
        <w:pStyle w:val="Style1"/>
        <w:ind w:left="1134"/>
        <w:rPr>
          <w:b/>
          <w:bCs/>
        </w:rPr>
      </w:pPr>
      <w:r>
        <w:rPr>
          <w:b/>
          <w:bCs/>
        </w:rPr>
        <w:t xml:space="preserve">Executive </w:t>
      </w:r>
      <w:r w:rsidR="00347024">
        <w:rPr>
          <w:b/>
          <w:bCs/>
        </w:rPr>
        <w:t>Chief Nurs</w:t>
      </w:r>
      <w:r w:rsidR="00945C1E">
        <w:rPr>
          <w:b/>
          <w:bCs/>
        </w:rPr>
        <w:t>ing Officer</w:t>
      </w:r>
    </w:p>
    <w:p w14:paraId="1088AC67" w14:textId="74CFA4D9" w:rsidR="00371134" w:rsidRDefault="00371134" w:rsidP="00371134">
      <w:pPr>
        <w:pStyle w:val="Style2"/>
        <w:contextualSpacing w:val="0"/>
      </w:pPr>
      <w:r>
        <w:t xml:space="preserve">The </w:t>
      </w:r>
      <w:r w:rsidR="00347024">
        <w:t>Executive Chief Nurs</w:t>
      </w:r>
      <w:r w:rsidR="00945C1E">
        <w:t>ing Officer</w:t>
      </w:r>
      <w:r>
        <w:t xml:space="preserve"> is responsible for ensuring the ICB meets its statutory responsibilities in line with the National Framework for Patient Choice through oversight of the associated teams within in the ICB. </w:t>
      </w:r>
    </w:p>
    <w:p w14:paraId="20D66EC7" w14:textId="236B9D30" w:rsidR="00F40D75" w:rsidRPr="00F40D75" w:rsidRDefault="00F40D75" w:rsidP="006742C1">
      <w:pPr>
        <w:pStyle w:val="Style1"/>
        <w:ind w:left="1134"/>
        <w:rPr>
          <w:b/>
          <w:bCs/>
        </w:rPr>
      </w:pPr>
      <w:r w:rsidRPr="00F40D75">
        <w:rPr>
          <w:b/>
          <w:bCs/>
        </w:rPr>
        <w:t>Line Managers</w:t>
      </w:r>
      <w:bookmarkEnd w:id="28"/>
      <w:r w:rsidRPr="00F40D75">
        <w:rPr>
          <w:b/>
          <w:bCs/>
        </w:rPr>
        <w:t xml:space="preserve"> </w:t>
      </w:r>
    </w:p>
    <w:p w14:paraId="1700A2FC" w14:textId="77777777" w:rsidR="0050428B" w:rsidRPr="00F40D75" w:rsidRDefault="0050428B" w:rsidP="0050428B">
      <w:pPr>
        <w:pStyle w:val="Style2"/>
        <w:contextualSpacing w:val="0"/>
      </w:pPr>
      <w:bookmarkStart w:id="29" w:name="_Toc95149181"/>
      <w:r>
        <w:t xml:space="preserve">All line managers are responsible for ensuring that their staff are aware of this policy and that </w:t>
      </w:r>
      <w:r w:rsidRPr="00CC74CA">
        <w:t>this</w:t>
      </w:r>
      <w:r>
        <w:t xml:space="preserve"> is adhered to when making any investment / decommissioning / disinvestment decisions</w:t>
      </w:r>
      <w:r w:rsidRPr="00F40D75">
        <w:t>.</w:t>
      </w:r>
    </w:p>
    <w:p w14:paraId="77315517" w14:textId="77777777" w:rsidR="00F40D75" w:rsidRPr="00F40D75" w:rsidRDefault="00F40D75" w:rsidP="00EE0D33">
      <w:pPr>
        <w:pStyle w:val="Style1"/>
        <w:ind w:left="1134"/>
        <w:rPr>
          <w:b/>
          <w:bCs/>
        </w:rPr>
      </w:pPr>
      <w:r w:rsidRPr="00F40D75">
        <w:rPr>
          <w:b/>
          <w:bCs/>
        </w:rPr>
        <w:t>All Staff</w:t>
      </w:r>
      <w:bookmarkEnd w:id="29"/>
    </w:p>
    <w:p w14:paraId="5ADD46DC" w14:textId="77777777" w:rsidR="003458D4" w:rsidRPr="00F40D75" w:rsidRDefault="003458D4" w:rsidP="003458D4">
      <w:pPr>
        <w:pStyle w:val="Style2"/>
        <w:contextualSpacing w:val="0"/>
      </w:pPr>
      <w:bookmarkStart w:id="30" w:name="_Toc95149182"/>
      <w:bookmarkStart w:id="31" w:name="_Toc216880685"/>
      <w:r>
        <w:t>All ICB staff are responsible for adhering to the content of this policy.</w:t>
      </w:r>
    </w:p>
    <w:p w14:paraId="4E7B9B93" w14:textId="77777777" w:rsidR="00F40D75" w:rsidRPr="00F40D75" w:rsidRDefault="00F40D75" w:rsidP="00F40D75">
      <w:pPr>
        <w:pStyle w:val="Heading2"/>
      </w:pPr>
      <w:bookmarkStart w:id="32" w:name="_Policy_Detail"/>
      <w:bookmarkStart w:id="33" w:name="_Toc229036803"/>
      <w:bookmarkEnd w:id="32"/>
      <w:r w:rsidRPr="00F40D75">
        <w:lastRenderedPageBreak/>
        <w:t>Policy Detail</w:t>
      </w:r>
      <w:bookmarkEnd w:id="30"/>
      <w:bookmarkEnd w:id="31"/>
      <w:bookmarkEnd w:id="33"/>
    </w:p>
    <w:p w14:paraId="34E9ECE5" w14:textId="77777777" w:rsidR="00A320E8" w:rsidRPr="00F40D75" w:rsidRDefault="00A320E8" w:rsidP="00A320E8">
      <w:pPr>
        <w:pStyle w:val="Heading3"/>
      </w:pPr>
      <w:bookmarkStart w:id="34" w:name="_Toc229036804"/>
      <w:bookmarkStart w:id="35" w:name="_Toc95149184"/>
      <w:bookmarkStart w:id="36" w:name="_Toc216880686"/>
      <w:r>
        <w:t>The Choice Framework 2020</w:t>
      </w:r>
      <w:bookmarkEnd w:id="34"/>
    </w:p>
    <w:p w14:paraId="0D31D161" w14:textId="77777777" w:rsidR="00A320E8" w:rsidRDefault="00A320E8" w:rsidP="00A320E8">
      <w:pPr>
        <w:pStyle w:val="Style2"/>
        <w:contextualSpacing w:val="0"/>
      </w:pPr>
      <w:bookmarkStart w:id="37" w:name="_Toc170931766"/>
      <w:r w:rsidRPr="00C52E95">
        <w:t xml:space="preserve">The 2020 Choice Framework has further defined those services where choice is a legal right and explains these rights under the NHS Constitution. The Framework forms the basis of this policy and offers the following provisions: </w:t>
      </w:r>
    </w:p>
    <w:p w14:paraId="4B3A34F4" w14:textId="77777777" w:rsidR="00A320E8" w:rsidRDefault="00A320E8" w:rsidP="00A320E8">
      <w:pPr>
        <w:pStyle w:val="Heading3"/>
      </w:pPr>
      <w:bookmarkStart w:id="38" w:name="_Toc229036805"/>
      <w:r w:rsidRPr="00C52E95">
        <w:t>Choosing a GP and GP Practice</w:t>
      </w:r>
      <w:bookmarkEnd w:id="38"/>
      <w:r w:rsidRPr="00C52E95">
        <w:t xml:space="preserve"> </w:t>
      </w:r>
    </w:p>
    <w:p w14:paraId="130E4FC2" w14:textId="77777777" w:rsidR="00A320E8" w:rsidRDefault="00A320E8" w:rsidP="00A320E8">
      <w:pPr>
        <w:pStyle w:val="Style2"/>
        <w:contextualSpacing w:val="0"/>
      </w:pPr>
      <w:r w:rsidRPr="00C52E95">
        <w:t xml:space="preserve">People have a legal right to choose which GP or GP Practice, also known as a primary care provider, they register with and can ask to see a particular health professional of their choice. </w:t>
      </w:r>
    </w:p>
    <w:p w14:paraId="27167429" w14:textId="77777777" w:rsidR="00A320E8" w:rsidRPr="00C52E95" w:rsidRDefault="00A320E8" w:rsidP="00A320E8">
      <w:pPr>
        <w:pStyle w:val="Style2"/>
        <w:contextualSpacing w:val="0"/>
      </w:pPr>
      <w:r w:rsidRPr="00C52E95">
        <w:t xml:space="preserve">The primary care provider must make every effort to meet individual preference, although there may be occasions when this might not be possible. A GP surgery can </w:t>
      </w:r>
      <w:r>
        <w:t>decline</w:t>
      </w:r>
      <w:r w:rsidRPr="00C52E95">
        <w:t xml:space="preserve"> to register </w:t>
      </w:r>
      <w:r>
        <w:t>a patient</w:t>
      </w:r>
      <w:r w:rsidRPr="00C52E95">
        <w:t xml:space="preserve"> if:</w:t>
      </w:r>
    </w:p>
    <w:p w14:paraId="23730297" w14:textId="77777777" w:rsidR="00A320E8" w:rsidRPr="00C52E95"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C52E95">
        <w:t>They are not accepting new patients</w:t>
      </w:r>
      <w:r>
        <w:t>.</w:t>
      </w:r>
    </w:p>
    <w:p w14:paraId="0E372F74" w14:textId="77777777" w:rsidR="00A320E8" w:rsidRPr="00C52E95"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C52E95">
        <w:t>You live outside their area, and they only accept patients inside this area</w:t>
      </w:r>
      <w:r>
        <w:t>.</w:t>
      </w:r>
    </w:p>
    <w:p w14:paraId="76242B63" w14:textId="77777777" w:rsidR="00A320E8" w:rsidRPr="00C52E95"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C52E95">
        <w:t>You have been removed from that surgery before.</w:t>
      </w:r>
    </w:p>
    <w:p w14:paraId="64A16249" w14:textId="77777777" w:rsidR="00A320E8" w:rsidRPr="00C52E95" w:rsidRDefault="00A320E8" w:rsidP="00A320E8">
      <w:pPr>
        <w:pStyle w:val="Style2"/>
        <w:contextualSpacing w:val="0"/>
      </w:pPr>
      <w:r w:rsidRPr="00C52E95">
        <w:t xml:space="preserve">If a GP surgery </w:t>
      </w:r>
      <w:r>
        <w:t>declines</w:t>
      </w:r>
      <w:r w:rsidRPr="00C52E95">
        <w:t xml:space="preserve"> to register </w:t>
      </w:r>
      <w:r>
        <w:t>a patient</w:t>
      </w:r>
      <w:r w:rsidRPr="00C52E95">
        <w:t xml:space="preserve">, they must write to </w:t>
      </w:r>
      <w:r>
        <w:t>them</w:t>
      </w:r>
      <w:r w:rsidRPr="00C52E95">
        <w:t xml:space="preserve"> within 14 days explaining why.</w:t>
      </w:r>
    </w:p>
    <w:p w14:paraId="1E4464F6" w14:textId="77777777" w:rsidR="00A320E8" w:rsidRDefault="00A320E8" w:rsidP="00A320E8">
      <w:pPr>
        <w:pStyle w:val="Heading3"/>
      </w:pPr>
      <w:bookmarkStart w:id="39" w:name="_Toc229036806"/>
      <w:r w:rsidRPr="00C52E95">
        <w:t xml:space="preserve">Choosing where to go for </w:t>
      </w:r>
      <w:r>
        <w:t>a</w:t>
      </w:r>
      <w:r w:rsidRPr="00C52E95">
        <w:t xml:space="preserve"> first appointment as an outpatient</w:t>
      </w:r>
      <w:bookmarkEnd w:id="39"/>
    </w:p>
    <w:p w14:paraId="40E1EE0F" w14:textId="77777777" w:rsidR="00A320E8" w:rsidRDefault="00A320E8" w:rsidP="00A320E8">
      <w:pPr>
        <w:pStyle w:val="Style2"/>
        <w:contextualSpacing w:val="0"/>
      </w:pPr>
      <w:r w:rsidRPr="004B5298">
        <w:t xml:space="preserve">Patients referred for consultant-led treatment, or to a mental health professional have a legal right to decide which organisation they would like to receive care from as an outpatient.  </w:t>
      </w:r>
    </w:p>
    <w:p w14:paraId="3676943C" w14:textId="77777777" w:rsidR="00A320E8" w:rsidRPr="004B5298" w:rsidRDefault="00A320E8" w:rsidP="00A320E8">
      <w:pPr>
        <w:pStyle w:val="Style2"/>
        <w:contextualSpacing w:val="0"/>
      </w:pPr>
      <w:r w:rsidRPr="004B5298">
        <w:t xml:space="preserve">Patients are also able to choose the clinical team who will </w:t>
      </w:r>
      <w:proofErr w:type="gramStart"/>
      <w:r w:rsidRPr="004B5298">
        <w:t>be in charge of</w:t>
      </w:r>
      <w:proofErr w:type="gramEnd"/>
      <w:r w:rsidRPr="004B5298">
        <w:t xml:space="preserve"> their care.</w:t>
      </w:r>
    </w:p>
    <w:p w14:paraId="7E219304" w14:textId="77777777" w:rsidR="00A320E8" w:rsidRPr="004B5298" w:rsidRDefault="00A320E8" w:rsidP="00A320E8">
      <w:pPr>
        <w:pStyle w:val="Style2"/>
        <w:contextualSpacing w:val="0"/>
      </w:pPr>
      <w:r w:rsidRPr="004B5298">
        <w:rPr>
          <w:bCs/>
        </w:rPr>
        <w:t>These choices apply to both physical and mental health referrals but apply only at the point of referral to providers that have a</w:t>
      </w:r>
      <w:r>
        <w:rPr>
          <w:bCs/>
        </w:rPr>
        <w:t xml:space="preserve"> qualifying</w:t>
      </w:r>
      <w:r w:rsidRPr="004B5298">
        <w:rPr>
          <w:bCs/>
        </w:rPr>
        <w:t xml:space="preserve"> NHS contract</w:t>
      </w:r>
      <w:r>
        <w:rPr>
          <w:bCs/>
        </w:rPr>
        <w:t xml:space="preserve"> with an ICB</w:t>
      </w:r>
      <w:r w:rsidRPr="004B5298">
        <w:rPr>
          <w:bCs/>
        </w:rPr>
        <w:t xml:space="preserve"> to provide the selected service.  Normally, the same provider chosen for the first appointment will also go on to provide the rest of </w:t>
      </w:r>
      <w:r>
        <w:rPr>
          <w:bCs/>
        </w:rPr>
        <w:t>the</w:t>
      </w:r>
      <w:r w:rsidRPr="004B5298">
        <w:rPr>
          <w:bCs/>
        </w:rPr>
        <w:t xml:space="preserve"> treatment.  </w:t>
      </w:r>
    </w:p>
    <w:p w14:paraId="6911FCC2" w14:textId="77777777" w:rsidR="00A320E8" w:rsidRPr="00BC7BAA" w:rsidRDefault="00A320E8" w:rsidP="00A320E8">
      <w:pPr>
        <w:pStyle w:val="Style2"/>
        <w:contextualSpacing w:val="0"/>
        <w:rPr>
          <w:bCs/>
        </w:rPr>
      </w:pPr>
      <w:r w:rsidRPr="004B5298">
        <w:t>The referring clinician (GP, Dentist or Optometrist) will make every effort to meet the request, although this may not always be feasible and is dependent on the circumstances.</w:t>
      </w:r>
      <w:r w:rsidRPr="004B5298">
        <w:rPr>
          <w:b/>
        </w:rPr>
        <w:t xml:space="preserve">  </w:t>
      </w:r>
      <w:r w:rsidRPr="004B5298">
        <w:rPr>
          <w:bCs/>
        </w:rPr>
        <w:t xml:space="preserve">Referrers are asked to shortlist on average </w:t>
      </w:r>
      <w:r>
        <w:rPr>
          <w:bCs/>
        </w:rPr>
        <w:t>five</w:t>
      </w:r>
      <w:r w:rsidRPr="004B5298">
        <w:rPr>
          <w:bCs/>
        </w:rPr>
        <w:t xml:space="preserve"> providers from which the patient may choose, where this is practicable and clinically appropriate</w:t>
      </w:r>
      <w:r w:rsidRPr="00BC7BAA">
        <w:rPr>
          <w:bCs/>
        </w:rPr>
        <w:t xml:space="preserve">.  </w:t>
      </w:r>
    </w:p>
    <w:p w14:paraId="721A8580" w14:textId="77777777" w:rsidR="00A320E8" w:rsidRDefault="00A320E8" w:rsidP="00A320E8">
      <w:pPr>
        <w:pStyle w:val="Style2"/>
        <w:contextualSpacing w:val="0"/>
        <w:rPr>
          <w:bCs/>
        </w:rPr>
      </w:pPr>
      <w:r w:rsidRPr="004B5298">
        <w:rPr>
          <w:bCs/>
        </w:rPr>
        <w:lastRenderedPageBreak/>
        <w:t xml:space="preserve">There will be occasions when the health provider is not </w:t>
      </w:r>
      <w:proofErr w:type="gramStart"/>
      <w:r w:rsidRPr="004B5298">
        <w:rPr>
          <w:bCs/>
        </w:rPr>
        <w:t>in a position</w:t>
      </w:r>
      <w:proofErr w:type="gramEnd"/>
      <w:r w:rsidRPr="004B5298">
        <w:rPr>
          <w:bCs/>
        </w:rPr>
        <w:t xml:space="preserve"> to accept the request due to the nature of the condition or if there are capacity restrictions in place. </w:t>
      </w:r>
    </w:p>
    <w:p w14:paraId="7E807655" w14:textId="77777777" w:rsidR="00A320E8" w:rsidRPr="004B5298" w:rsidRDefault="00A320E8" w:rsidP="00A320E8">
      <w:pPr>
        <w:pStyle w:val="Style2"/>
        <w:contextualSpacing w:val="0"/>
        <w:rPr>
          <w:bCs/>
        </w:rPr>
      </w:pPr>
      <w:r w:rsidRPr="004B5298">
        <w:rPr>
          <w:bCs/>
        </w:rPr>
        <w:t xml:space="preserve">In addition, </w:t>
      </w:r>
      <w:r>
        <w:rPr>
          <w:bCs/>
        </w:rPr>
        <w:t>patients</w:t>
      </w:r>
      <w:r w:rsidRPr="004B5298">
        <w:rPr>
          <w:bCs/>
        </w:rPr>
        <w:t xml:space="preserve"> do not have a legal right to choose where </w:t>
      </w:r>
      <w:r>
        <w:rPr>
          <w:bCs/>
        </w:rPr>
        <w:t>their</w:t>
      </w:r>
      <w:r w:rsidRPr="004B5298">
        <w:rPr>
          <w:bCs/>
        </w:rPr>
        <w:t xml:space="preserve"> </w:t>
      </w:r>
      <w:r>
        <w:rPr>
          <w:bCs/>
        </w:rPr>
        <w:t xml:space="preserve">first </w:t>
      </w:r>
      <w:r w:rsidRPr="004B5298">
        <w:rPr>
          <w:bCs/>
        </w:rPr>
        <w:t xml:space="preserve">outpatient appointment will take place if </w:t>
      </w:r>
      <w:r>
        <w:rPr>
          <w:bCs/>
        </w:rPr>
        <w:t>they</w:t>
      </w:r>
      <w:r w:rsidRPr="004B5298">
        <w:rPr>
          <w:bCs/>
        </w:rPr>
        <w:t xml:space="preserve"> are:</w:t>
      </w:r>
    </w:p>
    <w:p w14:paraId="21489E61"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 xml:space="preserve">are already receiving care and treatment for the same condition for which </w:t>
      </w:r>
      <w:r>
        <w:t>they</w:t>
      </w:r>
      <w:r w:rsidRPr="00BC7BAA">
        <w:t xml:space="preserve"> are being referred</w:t>
      </w:r>
      <w:r>
        <w:t>.</w:t>
      </w:r>
      <w:r w:rsidRPr="00BC7BAA">
        <w:t xml:space="preserve"> </w:t>
      </w:r>
    </w:p>
    <w:p w14:paraId="79F0C0AF"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using urgent, emergency or crisis services</w:t>
      </w:r>
      <w:r>
        <w:t>.</w:t>
      </w:r>
    </w:p>
    <w:p w14:paraId="241CE46D"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 xml:space="preserve">in need of emergency or urgent treatment such as cancer services where </w:t>
      </w:r>
      <w:r>
        <w:t>they</w:t>
      </w:r>
      <w:r w:rsidRPr="00BC7BAA">
        <w:t xml:space="preserve"> must be seen within a limited timeframe</w:t>
      </w:r>
      <w:r>
        <w:t>.</w:t>
      </w:r>
    </w:p>
    <w:p w14:paraId="0373DDFA"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a prisoner, on temporary release from prison, or detained in other prescribed accommodation</w:t>
      </w:r>
    </w:p>
    <w:p w14:paraId="0F177207"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someone who is held in a hospital setting under the Mental Health Act 1983</w:t>
      </w:r>
      <w:r>
        <w:t>.</w:t>
      </w:r>
    </w:p>
    <w:p w14:paraId="117E1E7C"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a serving member of the armed forces</w:t>
      </w:r>
      <w:r>
        <w:t>.</w:t>
      </w:r>
    </w:p>
    <w:p w14:paraId="2E642768" w14:textId="77777777" w:rsidR="00A320E8" w:rsidRPr="004B5298"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BC7BAA">
        <w:t>using maternity services.</w:t>
      </w:r>
    </w:p>
    <w:p w14:paraId="534888A3" w14:textId="77777777" w:rsidR="00A320E8" w:rsidRDefault="00A320E8" w:rsidP="00024859">
      <w:pPr>
        <w:pStyle w:val="Style1"/>
        <w:ind w:left="1134"/>
        <w:rPr>
          <w:b/>
          <w:bCs/>
        </w:rPr>
      </w:pPr>
      <w:bookmarkStart w:id="40" w:name="_Toc229036807"/>
      <w:r w:rsidRPr="00BC7BAA">
        <w:rPr>
          <w:rStyle w:val="Heading3Char"/>
        </w:rPr>
        <w:t xml:space="preserve">Changing hospital if </w:t>
      </w:r>
      <w:r>
        <w:rPr>
          <w:rStyle w:val="Heading3Char"/>
        </w:rPr>
        <w:t>patients</w:t>
      </w:r>
      <w:r w:rsidRPr="00BC7BAA">
        <w:rPr>
          <w:rStyle w:val="Heading3Char"/>
        </w:rPr>
        <w:t xml:space="preserve"> have been waiting longer than the</w:t>
      </w:r>
      <w:bookmarkEnd w:id="40"/>
      <w:r w:rsidRPr="00FB1543">
        <w:rPr>
          <w:b/>
          <w:bCs/>
        </w:rPr>
        <w:t xml:space="preserve"> maximum wait time </w:t>
      </w:r>
    </w:p>
    <w:p w14:paraId="20AEB679" w14:textId="77777777" w:rsidR="00A320E8" w:rsidRPr="009638CC" w:rsidRDefault="00A320E8" w:rsidP="00A320E8">
      <w:pPr>
        <w:pStyle w:val="Style2"/>
        <w:contextualSpacing w:val="0"/>
      </w:pPr>
      <w:r>
        <w:t>Patients</w:t>
      </w:r>
      <w:r w:rsidRPr="009638CC">
        <w:t xml:space="preserve"> can ask to be referred to a different provider of a consultant-led NHS </w:t>
      </w:r>
      <w:proofErr w:type="gramStart"/>
      <w:r w:rsidRPr="009638CC">
        <w:t>services</w:t>
      </w:r>
      <w:proofErr w:type="gramEnd"/>
      <w:r w:rsidRPr="009638CC">
        <w:t xml:space="preserve"> if:</w:t>
      </w:r>
    </w:p>
    <w:p w14:paraId="699B10F4" w14:textId="77777777" w:rsidR="00A320E8" w:rsidRPr="009638C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t>they</w:t>
      </w:r>
      <w:r w:rsidRPr="009638CC">
        <w:t xml:space="preserve"> have to wait, or have already waited, more than 18 weeks before starting treatment or assessment for a physical or mental health condition, as long as </w:t>
      </w:r>
      <w:r>
        <w:t>the</w:t>
      </w:r>
      <w:r w:rsidRPr="009638CC">
        <w:t xml:space="preserve"> referral is not urgent and the service require</w:t>
      </w:r>
      <w:r>
        <w:t>d</w:t>
      </w:r>
      <w:r w:rsidRPr="009638CC">
        <w:t xml:space="preserve"> is led by a </w:t>
      </w:r>
      <w:proofErr w:type="gramStart"/>
      <w:r w:rsidRPr="009638CC">
        <w:t>consultant</w:t>
      </w:r>
      <w:r>
        <w:t>;</w:t>
      </w:r>
      <w:proofErr w:type="gramEnd"/>
    </w:p>
    <w:p w14:paraId="7CE6480A" w14:textId="77777777" w:rsidR="00A320E8" w:rsidRPr="009638C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t>they</w:t>
      </w:r>
      <w:r w:rsidRPr="009638CC">
        <w:t xml:space="preserve"> </w:t>
      </w:r>
      <w:proofErr w:type="gramStart"/>
      <w:r w:rsidRPr="009638CC">
        <w:t>have to</w:t>
      </w:r>
      <w:proofErr w:type="gramEnd"/>
      <w:r w:rsidRPr="009638CC">
        <w:t xml:space="preserve"> wait, or have already waited, more than 2 weeks to see a specialist for suspected cancer</w:t>
      </w:r>
      <w:r>
        <w:t>.</w:t>
      </w:r>
    </w:p>
    <w:p w14:paraId="29669AF3" w14:textId="77777777" w:rsidR="00A320E8" w:rsidRDefault="00A320E8" w:rsidP="00A320E8">
      <w:pPr>
        <w:pStyle w:val="Style2"/>
        <w:contextualSpacing w:val="0"/>
      </w:pPr>
      <w:r w:rsidRPr="009638CC">
        <w:t xml:space="preserve">There may be cases where the request cannot be made, for example, if </w:t>
      </w:r>
      <w:r>
        <w:t>the patient</w:t>
      </w:r>
      <w:r w:rsidRPr="009638CC">
        <w:t xml:space="preserve"> require</w:t>
      </w:r>
      <w:r>
        <w:t>s</w:t>
      </w:r>
      <w:r w:rsidRPr="009638CC">
        <w:t xml:space="preserve"> specialist care, but every effort should be made to ensure that patients have the choice.</w:t>
      </w:r>
    </w:p>
    <w:p w14:paraId="605324BB" w14:textId="77777777" w:rsidR="00A320E8" w:rsidRPr="007E0232" w:rsidRDefault="00A320E8" w:rsidP="00A320E8">
      <w:pPr>
        <w:pStyle w:val="Style2"/>
        <w:contextualSpacing w:val="0"/>
      </w:pPr>
      <w:r>
        <w:t>Patients</w:t>
      </w:r>
      <w:r w:rsidRPr="009638CC">
        <w:t xml:space="preserve"> do not have a legal entitlement to ask to be referred to a different provider if there is no service available for the </w:t>
      </w:r>
      <w:r w:rsidRPr="007E0232">
        <w:t>treatment need</w:t>
      </w:r>
      <w:r>
        <w:t>ed</w:t>
      </w:r>
      <w:r w:rsidRPr="007E0232">
        <w:t xml:space="preserve"> that can start sooner.  </w:t>
      </w:r>
    </w:p>
    <w:p w14:paraId="70B50C92" w14:textId="77777777" w:rsidR="00A320E8" w:rsidRDefault="00A320E8" w:rsidP="00A320E8">
      <w:pPr>
        <w:pStyle w:val="Heading3"/>
      </w:pPr>
      <w:bookmarkStart w:id="41" w:name="_Toc229036808"/>
      <w:r w:rsidRPr="007E0232">
        <w:t>Choosing who carries out a specialist test</w:t>
      </w:r>
      <w:bookmarkEnd w:id="41"/>
      <w:r w:rsidRPr="007E0232">
        <w:t xml:space="preserve"> </w:t>
      </w:r>
    </w:p>
    <w:p w14:paraId="6CB039CB" w14:textId="77777777" w:rsidR="00A320E8" w:rsidRDefault="00A320E8" w:rsidP="00A320E8">
      <w:pPr>
        <w:pStyle w:val="Style2"/>
        <w:contextualSpacing w:val="0"/>
      </w:pPr>
      <w:r w:rsidRPr="007E0232">
        <w:t xml:space="preserve">It is a legal right for individuals to request a specific NHS funded provider to carry out specialist tests; however, this is only the case if the test will be the first outpatient appointment for the condition in question. The referring clinician will try to meet the request, but this may not always be possible. </w:t>
      </w:r>
    </w:p>
    <w:p w14:paraId="3FA60B38" w14:textId="77777777" w:rsidR="00A320E8" w:rsidRPr="00BC7BAA" w:rsidRDefault="00A320E8" w:rsidP="00A320E8">
      <w:pPr>
        <w:pStyle w:val="Heading3"/>
      </w:pPr>
      <w:bookmarkStart w:id="42" w:name="_Toc229036809"/>
      <w:r w:rsidRPr="00BC7BAA">
        <w:lastRenderedPageBreak/>
        <w:t>Choice and personalisation in maternity care</w:t>
      </w:r>
      <w:bookmarkEnd w:id="42"/>
      <w:r w:rsidRPr="00BC7BAA">
        <w:t xml:space="preserve"> </w:t>
      </w:r>
    </w:p>
    <w:p w14:paraId="60094187" w14:textId="2C20E0D2" w:rsidR="00A320E8" w:rsidRDefault="00A320E8" w:rsidP="00A320E8">
      <w:pPr>
        <w:pStyle w:val="Style2"/>
        <w:contextualSpacing w:val="0"/>
      </w:pPr>
      <w:r w:rsidRPr="004C679F">
        <w:t>Personalised maternity care is also essential in ensuring safe care, and maximising families experience and satisfaction, which</w:t>
      </w:r>
      <w:r w:rsidR="004F371B">
        <w:t xml:space="preserve"> </w:t>
      </w:r>
      <w:r>
        <w:t>Essex</w:t>
      </w:r>
      <w:r w:rsidRPr="004C679F">
        <w:t xml:space="preserve"> maternity services are fully committed to. This involves ensuring pregnant women and people are fully informed about all options available to them throughout their antenatal, intrapartum, and postnatal period enabling them to make decisions and plans that are personalised and tailored to their individual needs. </w:t>
      </w:r>
    </w:p>
    <w:p w14:paraId="5E23BE3E" w14:textId="77777777" w:rsidR="00A320E8" w:rsidRDefault="00A320E8" w:rsidP="00A320E8">
      <w:pPr>
        <w:pStyle w:val="Style2"/>
        <w:contextualSpacing w:val="0"/>
      </w:pPr>
      <w:r w:rsidRPr="004C679F">
        <w:t>The NHS recommends choice is provided where possible and depending on what services are available, but this is not a legal right</w:t>
      </w:r>
      <w:r>
        <w:t>.</w:t>
      </w:r>
    </w:p>
    <w:p w14:paraId="1C464770" w14:textId="77777777" w:rsidR="00A320E8" w:rsidRPr="00BC7BAA" w:rsidRDefault="00A320E8" w:rsidP="00A320E8">
      <w:pPr>
        <w:pStyle w:val="Heading3"/>
      </w:pPr>
      <w:bookmarkStart w:id="43" w:name="_Toc229036810"/>
      <w:r w:rsidRPr="00BC7BAA">
        <w:t>Choice in Specialist Fertility Treatment</w:t>
      </w:r>
      <w:bookmarkEnd w:id="43"/>
      <w:r w:rsidRPr="00BC7BAA">
        <w:t xml:space="preserve">  </w:t>
      </w:r>
    </w:p>
    <w:p w14:paraId="4F2F5147" w14:textId="46679B75" w:rsidR="00A320E8" w:rsidRDefault="00A320E8" w:rsidP="00A320E8">
      <w:pPr>
        <w:pStyle w:val="Style2"/>
        <w:contextualSpacing w:val="0"/>
        <w:rPr>
          <w:color w:val="auto"/>
          <w:lang w:eastAsia="en-GB"/>
        </w:rPr>
      </w:pPr>
      <w:r>
        <w:rPr>
          <w:lang w:eastAsia="en-GB"/>
        </w:rPr>
        <w:t>Patients in Essex are provided choice of provider for their first consultant led outpatient appointment in secondary care. Following diagnosis / initial treatment with this provider some individuals/couples may require services from a specialist fertility provider. In Essex there is a pool of</w:t>
      </w:r>
      <w:r w:rsidR="004F371B">
        <w:rPr>
          <w:lang w:eastAsia="en-GB"/>
        </w:rPr>
        <w:t xml:space="preserve"> </w:t>
      </w:r>
      <w:r>
        <w:rPr>
          <w:lang w:eastAsia="en-GB"/>
        </w:rPr>
        <w:t xml:space="preserve">specialist fertility service providers available from which the patient/couple can choose from. This pool of providers was established following an assessment process compliant with national regulations. </w:t>
      </w:r>
    </w:p>
    <w:p w14:paraId="654DF678" w14:textId="77777777" w:rsidR="00A320E8" w:rsidRDefault="00A320E8" w:rsidP="00A320E8">
      <w:pPr>
        <w:pStyle w:val="Heading3"/>
      </w:pPr>
      <w:bookmarkStart w:id="44" w:name="_Toc229036811"/>
      <w:r>
        <w:t>Choosing services provided in the community</w:t>
      </w:r>
      <w:bookmarkEnd w:id="44"/>
      <w:r>
        <w:t xml:space="preserve"> </w:t>
      </w:r>
    </w:p>
    <w:p w14:paraId="7AF54616" w14:textId="7FA2EEFA" w:rsidR="00A320E8" w:rsidRDefault="00A320E8" w:rsidP="00A320E8">
      <w:pPr>
        <w:pStyle w:val="Style2"/>
        <w:contextualSpacing w:val="0"/>
      </w:pPr>
      <w:r w:rsidRPr="006313B3">
        <w:t>The ICB commissions a wide range of services in the community and patients, where possible, will be offered a choice of provider.  However</w:t>
      </w:r>
      <w:r>
        <w:t xml:space="preserve">, this </w:t>
      </w:r>
      <w:r w:rsidRPr="006313B3">
        <w:t>is dependent on the services provided</w:t>
      </w:r>
      <w:r>
        <w:t>,</w:t>
      </w:r>
      <w:r w:rsidRPr="006313B3">
        <w:t xml:space="preserve"> if the organisation is commissioned to provide services in </w:t>
      </w:r>
      <w:r>
        <w:t>the relevant</w:t>
      </w:r>
      <w:r w:rsidRPr="006313B3">
        <w:t xml:space="preserve"> area and if the service is consultant-led or not. </w:t>
      </w:r>
      <w:r>
        <w:t xml:space="preserve">If it is not clear if a service is appliable for patient choice further guidance can be sought via </w:t>
      </w:r>
    </w:p>
    <w:p w14:paraId="2E8EBACC" w14:textId="324F083C" w:rsidR="00A320E8" w:rsidRPr="00AB54D7" w:rsidRDefault="00E474CC" w:rsidP="00A320E8">
      <w:pPr>
        <w:pStyle w:val="Style2"/>
        <w:numPr>
          <w:ilvl w:val="0"/>
          <w:numId w:val="0"/>
        </w:numPr>
        <w:ind w:left="1134"/>
      </w:pPr>
      <w:hyperlink r:id="rId19" w:history="1">
        <w:r w:rsidRPr="00525089">
          <w:rPr>
            <w:rStyle w:val="Hyperlink"/>
          </w:rPr>
          <w:t>mseicb-bb.patientchoice@nhs.net</w:t>
        </w:r>
      </w:hyperlink>
      <w:r>
        <w:t xml:space="preserve"> </w:t>
      </w:r>
    </w:p>
    <w:p w14:paraId="34A0E0E1" w14:textId="77777777" w:rsidR="00A320E8" w:rsidRDefault="00A320E8" w:rsidP="00A320E8">
      <w:pPr>
        <w:pStyle w:val="Heading3"/>
      </w:pPr>
      <w:bookmarkStart w:id="45" w:name="_Toc229036812"/>
      <w:r>
        <w:t>Choosing to take part in health research</w:t>
      </w:r>
      <w:bookmarkEnd w:id="45"/>
      <w:r>
        <w:t xml:space="preserve"> </w:t>
      </w:r>
    </w:p>
    <w:p w14:paraId="1ADFD721" w14:textId="77777777" w:rsidR="00A320E8" w:rsidRDefault="00A320E8" w:rsidP="00A320E8">
      <w:pPr>
        <w:pStyle w:val="Style2"/>
        <w:contextualSpacing w:val="0"/>
      </w:pPr>
      <w:r w:rsidRPr="00B16B2E">
        <w:t>People can take part in approved health research, for example clinical trials of medicines relating to individual circumstances or care.</w:t>
      </w:r>
      <w:r>
        <w:t xml:space="preserve">  P</w:t>
      </w:r>
      <w:r w:rsidRPr="00B16B2E">
        <w:t>eople have the freedom to decide if they would like to partake.</w:t>
      </w:r>
    </w:p>
    <w:p w14:paraId="184CDA18" w14:textId="77777777" w:rsidR="00A320E8" w:rsidRDefault="00A320E8" w:rsidP="00A320E8">
      <w:pPr>
        <w:pStyle w:val="Heading3"/>
      </w:pPr>
      <w:bookmarkStart w:id="46" w:name="_Toc229036813"/>
      <w:r>
        <w:t>Choosing to have a personal health budget</w:t>
      </w:r>
      <w:bookmarkEnd w:id="46"/>
      <w:r>
        <w:t xml:space="preserve"> </w:t>
      </w:r>
    </w:p>
    <w:p w14:paraId="57577AAC" w14:textId="77777777" w:rsidR="00A320E8" w:rsidRPr="00E442E4" w:rsidRDefault="00A320E8" w:rsidP="00A320E8">
      <w:pPr>
        <w:pStyle w:val="Style2"/>
        <w:contextualSpacing w:val="0"/>
      </w:pPr>
      <w:r w:rsidRPr="00E442E4">
        <w:t xml:space="preserve">A personal health budget (PHB) is an amount of money to support a person’s health and wellbeing needs. A PHB allows more flexibility and choice and can be used to pay for items such as treatments, equipment, and personal care. </w:t>
      </w:r>
    </w:p>
    <w:p w14:paraId="5209FBEA" w14:textId="77777777" w:rsidR="00A320E8" w:rsidRDefault="00A320E8" w:rsidP="00A320E8">
      <w:pPr>
        <w:pStyle w:val="Style2"/>
        <w:contextualSpacing w:val="0"/>
      </w:pPr>
      <w:r w:rsidRPr="00E442E4">
        <w:t xml:space="preserve">The legal right to have a personal health budget applies to people who are receiving NHS continuing healthcare, continuing care for children and </w:t>
      </w:r>
      <w:r w:rsidRPr="00E442E4">
        <w:lastRenderedPageBreak/>
        <w:t>young people, those people eligible for section 117 after-care and those people who are eligible for a wheelchair.</w:t>
      </w:r>
    </w:p>
    <w:p w14:paraId="64121B45" w14:textId="021D3944" w:rsidR="00A320E8" w:rsidRPr="00E442E4" w:rsidRDefault="00A320E8" w:rsidP="00A320E8">
      <w:pPr>
        <w:pStyle w:val="Style2"/>
        <w:contextualSpacing w:val="0"/>
      </w:pPr>
      <w:r>
        <w:t xml:space="preserve">Further information can be found at </w:t>
      </w:r>
      <w:hyperlink r:id="rId20" w:history="1">
        <w:r w:rsidR="00027D6C" w:rsidRPr="00027D6C">
          <w:rPr>
            <w:color w:val="0000FF"/>
            <w:u w:val="single"/>
          </w:rPr>
          <w:t>Personal health budget | NHS Essex care and support</w:t>
        </w:r>
      </w:hyperlink>
      <w:r w:rsidR="00027D6C">
        <w:t>.</w:t>
      </w:r>
    </w:p>
    <w:p w14:paraId="25AD090C" w14:textId="77777777" w:rsidR="00A320E8" w:rsidRDefault="00A320E8" w:rsidP="00A320E8">
      <w:pPr>
        <w:pStyle w:val="Heading3"/>
      </w:pPr>
      <w:bookmarkStart w:id="47" w:name="_Toc229036814"/>
      <w:r>
        <w:t>Choosing to access required treatment in another European country</w:t>
      </w:r>
      <w:bookmarkEnd w:id="47"/>
      <w:r>
        <w:t xml:space="preserve"> </w:t>
      </w:r>
    </w:p>
    <w:p w14:paraId="7A40E92C" w14:textId="77777777" w:rsidR="00A320E8" w:rsidRPr="00E442E4" w:rsidRDefault="00A320E8" w:rsidP="00A320E8">
      <w:pPr>
        <w:pStyle w:val="Style2"/>
        <w:contextualSpacing w:val="0"/>
      </w:pPr>
      <w:r>
        <w:t>Patients</w:t>
      </w:r>
      <w:r w:rsidRPr="00E442E4">
        <w:t xml:space="preserve"> have the right to authorisation for planned treatment in the </w:t>
      </w:r>
      <w:r>
        <w:t>European Union (</w:t>
      </w:r>
      <w:r w:rsidRPr="00E442E4">
        <w:t>EU</w:t>
      </w:r>
      <w:r>
        <w:t>)</w:t>
      </w:r>
      <w:r w:rsidRPr="00E442E4">
        <w:t xml:space="preserve"> under the UK EU Trade and Cooperation Agreement where </w:t>
      </w:r>
      <w:r>
        <w:t>they</w:t>
      </w:r>
      <w:r w:rsidRPr="00E442E4">
        <w:t xml:space="preserve"> meet the relevant requirements.  </w:t>
      </w:r>
      <w:r>
        <w:t>Patients</w:t>
      </w:r>
      <w:r w:rsidRPr="00E442E4">
        <w:t xml:space="preserve"> also have the right to authorisation for planned treatment in the EU, Norway, Iceland, Lichtenstein, or Switzerland if covered by the Withdrawal Agreement and meet</w:t>
      </w:r>
      <w:r>
        <w:t>ing</w:t>
      </w:r>
      <w:r w:rsidRPr="00E442E4">
        <w:t xml:space="preserve"> the relevant requirements.</w:t>
      </w:r>
    </w:p>
    <w:p w14:paraId="273E38B1" w14:textId="77777777" w:rsidR="00A320E8" w:rsidRPr="00E442E4" w:rsidRDefault="00A320E8" w:rsidP="00A320E8">
      <w:pPr>
        <w:pStyle w:val="Style2"/>
        <w:contextualSpacing w:val="0"/>
      </w:pPr>
      <w:r w:rsidRPr="00E442E4">
        <w:t>From 1</w:t>
      </w:r>
      <w:r w:rsidRPr="00E442E4">
        <w:rPr>
          <w:vertAlign w:val="superscript"/>
        </w:rPr>
        <w:t xml:space="preserve"> </w:t>
      </w:r>
      <w:r w:rsidRPr="00E442E4">
        <w:t>January 2021</w:t>
      </w:r>
      <w:r>
        <w:t>,</w:t>
      </w:r>
      <w:r w:rsidRPr="00E442E4">
        <w:t xml:space="preserve"> patients can apply for NHS funding using the S2 route.  This may entitle </w:t>
      </w:r>
      <w:r>
        <w:t>a patient</w:t>
      </w:r>
      <w:r w:rsidRPr="00E442E4">
        <w:t xml:space="preserve"> to NHS funding, or part-funding for planned state healthcare treatment in an EU country or Switzerland if certain qualifying criteria are met. </w:t>
      </w:r>
      <w:r>
        <w:t xml:space="preserve">The NHS </w:t>
      </w:r>
      <w:r w:rsidRPr="00E442E4">
        <w:t xml:space="preserve">will not reimburse travel or accommodation costs.    </w:t>
      </w:r>
    </w:p>
    <w:p w14:paraId="1911B3F2" w14:textId="77777777" w:rsidR="00A320E8" w:rsidRPr="00E442E4" w:rsidRDefault="00A320E8" w:rsidP="00A320E8">
      <w:pPr>
        <w:pStyle w:val="Style2"/>
        <w:contextualSpacing w:val="0"/>
      </w:pPr>
      <w:r w:rsidRPr="00E442E4">
        <w:t>Further information on applying for funding using the S2 or EU funding routes please follow the links below to read the relevant funding route pages:</w:t>
      </w:r>
    </w:p>
    <w:p w14:paraId="573115FE" w14:textId="77777777" w:rsidR="00A320E8" w:rsidRPr="00E442E4" w:rsidRDefault="00A320E8" w:rsidP="00A320E8">
      <w:pPr>
        <w:pStyle w:val="Style1"/>
        <w:numPr>
          <w:ilvl w:val="0"/>
          <w:numId w:val="0"/>
        </w:numPr>
        <w:ind w:left="1134"/>
        <w:rPr>
          <w:rStyle w:val="Hyperlink"/>
        </w:rPr>
      </w:pPr>
      <w:hyperlink r:id="rId21" w:history="1">
        <w:r w:rsidRPr="00E442E4">
          <w:rPr>
            <w:rStyle w:val="Hyperlink"/>
          </w:rPr>
          <w:t>Going abroad for treatment - NHS (www.nhs.uk)</w:t>
        </w:r>
      </w:hyperlink>
    </w:p>
    <w:p w14:paraId="11258B44" w14:textId="77777777" w:rsidR="00A320E8" w:rsidRPr="0078096D" w:rsidRDefault="00A320E8" w:rsidP="00A320E8">
      <w:pPr>
        <w:pStyle w:val="Style1"/>
        <w:numPr>
          <w:ilvl w:val="0"/>
          <w:numId w:val="0"/>
        </w:numPr>
        <w:ind w:left="1134"/>
      </w:pPr>
      <w:r w:rsidRPr="00BC0E05">
        <w:rPr>
          <w:i/>
          <w:iCs/>
        </w:rPr>
        <w:t>Neither the S2 route nor the EU directive route applies to treatment outside Europe.</w:t>
      </w:r>
    </w:p>
    <w:p w14:paraId="685C68F2" w14:textId="77777777" w:rsidR="00A320E8" w:rsidRDefault="00A320E8" w:rsidP="00A320E8">
      <w:pPr>
        <w:pStyle w:val="Heading3"/>
      </w:pPr>
      <w:bookmarkStart w:id="48" w:name="_Toc229036815"/>
      <w:r>
        <w:t>Exceptions to Choice of Provider</w:t>
      </w:r>
      <w:bookmarkEnd w:id="48"/>
      <w:r>
        <w:t xml:space="preserve"> </w:t>
      </w:r>
    </w:p>
    <w:p w14:paraId="3C33036D" w14:textId="77777777" w:rsidR="00A320E8" w:rsidRDefault="00A320E8" w:rsidP="00A320E8">
      <w:pPr>
        <w:pStyle w:val="Style2"/>
        <w:contextualSpacing w:val="0"/>
      </w:pPr>
      <w:bookmarkStart w:id="49" w:name="_Toc89326547"/>
      <w:r w:rsidRPr="00E442E4">
        <w:t xml:space="preserve">Patients who require an outpatient referral should be offered a choice of provider for their appointment at the time they are referred by their </w:t>
      </w:r>
      <w:r>
        <w:t>primary care provider.</w:t>
      </w:r>
      <w:r w:rsidRPr="00E442E4">
        <w:t xml:space="preserve"> However, there are currently a few exceptions to this choice policy.</w:t>
      </w:r>
      <w:r>
        <w:t xml:space="preserve"> </w:t>
      </w:r>
    </w:p>
    <w:p w14:paraId="0C173B93" w14:textId="77777777" w:rsidR="00A320E8" w:rsidRPr="00E442E4" w:rsidRDefault="00A320E8" w:rsidP="00A320E8">
      <w:pPr>
        <w:pStyle w:val="Style2"/>
        <w:contextualSpacing w:val="0"/>
      </w:pPr>
      <w:r>
        <w:t>Patients</w:t>
      </w:r>
      <w:r w:rsidRPr="00E442E4">
        <w:t xml:space="preserve"> may not have a choice of provider if </w:t>
      </w:r>
      <w:r>
        <w:t xml:space="preserve">they </w:t>
      </w:r>
      <w:r w:rsidRPr="00E442E4">
        <w:t xml:space="preserve">are: </w:t>
      </w:r>
    </w:p>
    <w:p w14:paraId="72553B1C"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 xml:space="preserve">already receiving care and treatment for the condition for which </w:t>
      </w:r>
      <w:r>
        <w:t>they</w:t>
      </w:r>
      <w:r w:rsidRPr="00E442E4">
        <w:t xml:space="preserve"> are being </w:t>
      </w:r>
      <w:proofErr w:type="gramStart"/>
      <w:r w:rsidRPr="00E442E4">
        <w:t>referred</w:t>
      </w:r>
      <w:proofErr w:type="gramEnd"/>
      <w:r w:rsidRPr="00E442E4">
        <w:t xml:space="preserve"> and this is an onward referral</w:t>
      </w:r>
      <w:r>
        <w:t>.</w:t>
      </w:r>
    </w:p>
    <w:p w14:paraId="4AC990AA"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using emergency services</w:t>
      </w:r>
      <w:r>
        <w:t>.</w:t>
      </w:r>
    </w:p>
    <w:p w14:paraId="31BFAE63"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 xml:space="preserve">in need of emergency or urgent treatment, such as cancer services where </w:t>
      </w:r>
      <w:r>
        <w:t>they</w:t>
      </w:r>
      <w:r w:rsidRPr="00E442E4">
        <w:t xml:space="preserve"> must be seen in a maximum waiting time of 2 weeks</w:t>
      </w:r>
      <w:r>
        <w:t>.</w:t>
      </w:r>
    </w:p>
    <w:p w14:paraId="2191E3A2"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a prisoner, on temporary release from prison, or detained in ‘other prescribed accommodation’ (such as a court, secure children’s home, secure training centre, an immigration removal centre or a young offender’s institution)</w:t>
      </w:r>
      <w:r>
        <w:t>.</w:t>
      </w:r>
    </w:p>
    <w:p w14:paraId="74D68541"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someone who is cared for in a hospital setting under the Mental Health Act 1983</w:t>
      </w:r>
      <w:r>
        <w:t>.</w:t>
      </w:r>
    </w:p>
    <w:p w14:paraId="64C312C9"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lastRenderedPageBreak/>
        <w:t>a serving member of the armed forces</w:t>
      </w:r>
      <w:r>
        <w:t>.</w:t>
      </w:r>
    </w:p>
    <w:p w14:paraId="2AB492BF" w14:textId="77777777" w:rsidR="00A320E8" w:rsidRPr="00E442E4"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using maternity services (see Choice Framework section 6: </w:t>
      </w:r>
      <w:hyperlink r:id="rId22" w:anchor="section-6" w:history="1">
        <w:r w:rsidRPr="00BC7BAA">
          <w:t>‘Choosing maternity services’</w:t>
        </w:r>
      </w:hyperlink>
      <w:r w:rsidRPr="00E442E4">
        <w:t> for more detail)</w:t>
      </w:r>
      <w:r>
        <w:t>.</w:t>
      </w:r>
    </w:p>
    <w:p w14:paraId="6C6E682D" w14:textId="77777777" w:rsidR="00A320E8" w:rsidRPr="00BC7BAA"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E442E4">
        <w:t>referred to services commissioned by Local Authorities (also known as a Local Council), as choice will depend on what has been put in place locally.</w:t>
      </w:r>
    </w:p>
    <w:p w14:paraId="629F686D" w14:textId="77777777" w:rsidR="00A320E8" w:rsidRDefault="00A320E8" w:rsidP="00A320E8">
      <w:pPr>
        <w:pStyle w:val="Heading3"/>
      </w:pPr>
      <w:bookmarkStart w:id="50" w:name="_Toc229036816"/>
      <w:r>
        <w:t>Choice of medicine and medicines optimisation</w:t>
      </w:r>
      <w:bookmarkEnd w:id="50"/>
      <w:r>
        <w:t xml:space="preserve"> </w:t>
      </w:r>
    </w:p>
    <w:p w14:paraId="187614F6" w14:textId="77777777" w:rsidR="00A320E8" w:rsidRPr="00E442E4" w:rsidRDefault="00A320E8" w:rsidP="00A320E8">
      <w:pPr>
        <w:pStyle w:val="Style2"/>
        <w:contextualSpacing w:val="0"/>
      </w:pPr>
      <w:bookmarkStart w:id="51" w:name="_Toc84611056"/>
      <w:bookmarkStart w:id="52" w:name="_Toc89326548"/>
      <w:r w:rsidRPr="00E442E4">
        <w:t>In relation to medicines, the </w:t>
      </w:r>
      <w:hyperlink r:id="rId23" w:tgtFrame="_top" w:history="1">
        <w:r w:rsidRPr="00E442E4">
          <w:rPr>
            <w:rStyle w:val="Hyperlink"/>
          </w:rPr>
          <w:t>NICE guideline on medicines adherence</w:t>
        </w:r>
      </w:hyperlink>
      <w:r w:rsidRPr="00E442E4">
        <w:t> recommends that all patients have the opportunity to be involved in decisions about their medicines at the level they wish, through shared decision</w:t>
      </w:r>
      <w:r w:rsidRPr="00E442E4">
        <w:noBreakHyphen/>
        <w:t>making. This is outlined in the NHS Constitution. Also, </w:t>
      </w:r>
      <w:hyperlink r:id="rId24" w:tgtFrame="_top" w:history="1">
        <w:r w:rsidRPr="00E442E4">
          <w:rPr>
            <w:rStyle w:val="Hyperlink"/>
          </w:rPr>
          <w:t>General Medical Council's good practice in prescribing and managing medicines and devices</w:t>
        </w:r>
      </w:hyperlink>
      <w:r w:rsidRPr="00E442E4">
        <w:t> also emphasises the need to take account of the patient's needs, wishes and preferences.</w:t>
      </w:r>
    </w:p>
    <w:p w14:paraId="050EE269" w14:textId="77777777" w:rsidR="00A320E8" w:rsidRPr="00E442E4" w:rsidRDefault="00A320E8" w:rsidP="00A320E8">
      <w:pPr>
        <w:pStyle w:val="Style2"/>
        <w:contextualSpacing w:val="0"/>
      </w:pPr>
      <w:r w:rsidRPr="00E442E4">
        <w:t>The growing cost of medicines is a challenge, and it is crucial that patients get the best quality outcomes from medicines. The increase in availability of generic medicines and biosimilars provides best value for NHS resources and creates increased choice for patients and clinicians.</w:t>
      </w:r>
    </w:p>
    <w:p w14:paraId="27107CBC" w14:textId="0D8C1731" w:rsidR="00A320E8" w:rsidRDefault="00A320E8" w:rsidP="00A320E8">
      <w:pPr>
        <w:pStyle w:val="Style2"/>
        <w:contextualSpacing w:val="0"/>
      </w:pPr>
      <w:hyperlink r:id="rId25" w:history="1">
        <w:r w:rsidRPr="00E442E4">
          <w:rPr>
            <w:rStyle w:val="Hyperlink"/>
          </w:rPr>
          <w:t>Medicines optimisation</w:t>
        </w:r>
      </w:hyperlink>
      <w:r w:rsidRPr="00E442E4">
        <w:t xml:space="preserve"> is encouraged by the </w:t>
      </w:r>
      <w:r>
        <w:t>Essex</w:t>
      </w:r>
      <w:r w:rsidRPr="00E442E4">
        <w:t xml:space="preserve"> ICB.</w:t>
      </w:r>
      <w:r w:rsidRPr="00E442E4">
        <w:rPr>
          <w:rFonts w:ascii="Roboto" w:hAnsi="Roboto"/>
          <w:color w:val="202A30"/>
          <w:shd w:val="clear" w:color="auto" w:fill="FFFFFF"/>
        </w:rPr>
        <w:t xml:space="preserve"> </w:t>
      </w:r>
      <w:r w:rsidRPr="00E442E4">
        <w:t xml:space="preserve">Medicines optimisation looks at the value which medicines deliver, making sure they are clinically effective and cost-effective. </w:t>
      </w:r>
    </w:p>
    <w:p w14:paraId="3E8E00AE" w14:textId="3F42719D" w:rsidR="00A320E8" w:rsidRPr="00E442E4" w:rsidRDefault="00A320E8" w:rsidP="00A320E8">
      <w:pPr>
        <w:pStyle w:val="Style2"/>
        <w:contextualSpacing w:val="0"/>
      </w:pPr>
      <w:r w:rsidRPr="00EA02F0">
        <w:t>Choice and Access to medicines</w:t>
      </w:r>
      <w:r>
        <w:t xml:space="preserve"> in</w:t>
      </w:r>
      <w:r w:rsidRPr="00EA02F0">
        <w:t xml:space="preserve"> line with </w:t>
      </w:r>
      <w:r>
        <w:t>the ICB</w:t>
      </w:r>
      <w:r w:rsidRPr="00EA02F0">
        <w:t xml:space="preserve"> Medicines Optimisation commissioning policy</w:t>
      </w:r>
      <w:r>
        <w:t xml:space="preserve"> </w:t>
      </w:r>
      <w:hyperlink r:id="rId26" w:history="1">
        <w:r w:rsidR="00D616EC" w:rsidRPr="00D616EC">
          <w:rPr>
            <w:color w:val="0000FF"/>
            <w:u w:val="single"/>
          </w:rPr>
          <w:t>Medicines and medicines related devices commissioning policy - NHS Essex Integrated Care Board</w:t>
        </w:r>
      </w:hyperlink>
      <w:r w:rsidR="00D616EC">
        <w:t>.</w:t>
      </w:r>
    </w:p>
    <w:p w14:paraId="68BCD884" w14:textId="77777777" w:rsidR="00A320E8" w:rsidRDefault="00A320E8" w:rsidP="00A320E8">
      <w:pPr>
        <w:pStyle w:val="Heading3"/>
      </w:pPr>
      <w:bookmarkStart w:id="53" w:name="_Toc229036817"/>
      <w:bookmarkEnd w:id="51"/>
      <w:bookmarkEnd w:id="52"/>
      <w:r>
        <w:t>NHS Constitution</w:t>
      </w:r>
      <w:bookmarkEnd w:id="53"/>
      <w:r>
        <w:t xml:space="preserve"> </w:t>
      </w:r>
    </w:p>
    <w:p w14:paraId="2FCB40D5" w14:textId="77777777" w:rsidR="00A320E8" w:rsidRPr="00A53F05" w:rsidRDefault="00A320E8" w:rsidP="00A320E8">
      <w:pPr>
        <w:pStyle w:val="Style2"/>
        <w:contextualSpacing w:val="0"/>
      </w:pPr>
      <w:r w:rsidRPr="00A53F05">
        <w:t xml:space="preserve">The pledge set out in the NHS Constitution (2015) is for everyone who is cared for by the NHS in England to have a right to choose the services they receive.  </w:t>
      </w:r>
    </w:p>
    <w:p w14:paraId="2382EF0B" w14:textId="77777777" w:rsidR="00A320E8" w:rsidRPr="00A53F05" w:rsidRDefault="00A320E8" w:rsidP="00A320E8">
      <w:pPr>
        <w:pStyle w:val="Style2"/>
        <w:contextualSpacing w:val="0"/>
      </w:pPr>
      <w:r w:rsidRPr="00A53F05">
        <w:t>The NHS Constitution pledges to:</w:t>
      </w:r>
      <w:r w:rsidRPr="00A53F05">
        <w:rPr>
          <w:rFonts w:ascii="Times New Roman" w:eastAsia="Times New Roman" w:hAnsi="Times New Roman" w:cs="Times New Roman"/>
        </w:rPr>
        <w:t xml:space="preserve"> </w:t>
      </w:r>
    </w:p>
    <w:p w14:paraId="71192D4B" w14:textId="77777777" w:rsidR="00A320E8" w:rsidRPr="00A53F05"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A53F05">
        <w:t xml:space="preserve">Inform patients about the healthcare services available, locally, and nationally. </w:t>
      </w:r>
    </w:p>
    <w:p w14:paraId="6DEB8E34" w14:textId="77777777" w:rsidR="00A320E8" w:rsidRPr="00A53F05"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A53F05">
        <w:t xml:space="preserve">Offer patients easily accessible, reliable, and relevant information in an easily understood format. This will enable patients to participate fully in their own healthcare decisions and to support them in making choices. This will include information on the range and quality of clinical services where there is robust and accurate information available. </w:t>
      </w:r>
    </w:p>
    <w:p w14:paraId="00BB59C1" w14:textId="1AA19A1B" w:rsidR="00A320E8" w:rsidRDefault="00A320E8" w:rsidP="00A320E8">
      <w:pPr>
        <w:pStyle w:val="Heading3"/>
      </w:pPr>
      <w:bookmarkStart w:id="54" w:name="_Toc229036818"/>
      <w:r>
        <w:lastRenderedPageBreak/>
        <w:t>Essex ICB commitments</w:t>
      </w:r>
      <w:bookmarkEnd w:id="54"/>
      <w:r>
        <w:t xml:space="preserve"> </w:t>
      </w:r>
    </w:p>
    <w:p w14:paraId="2E6EF424" w14:textId="44A1BF4C" w:rsidR="00A320E8" w:rsidRPr="005D435C" w:rsidRDefault="00A320E8" w:rsidP="00A320E8">
      <w:pPr>
        <w:pStyle w:val="Style2"/>
        <w:contextualSpacing w:val="0"/>
      </w:pPr>
      <w:r>
        <w:t>Essex</w:t>
      </w:r>
      <w:r w:rsidRPr="005D435C">
        <w:t xml:space="preserve"> ICB gives assurance that it will act with a view to enabling patients to make choices by:   </w:t>
      </w:r>
    </w:p>
    <w:p w14:paraId="7198D74D"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Ensuring that commissioners (responsible for planning and funding services) and providers (responsible for delivering services) work together to maintain the principle of patients’ rights to choose under the NHS Constitution</w:t>
      </w:r>
      <w:r>
        <w:t>.</w:t>
      </w:r>
    </w:p>
    <w:p w14:paraId="0F88A298"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Monitoring and communicating key national performance measures relating to patient choice such as e-RS utilisation</w:t>
      </w:r>
      <w:r>
        <w:t>.</w:t>
      </w:r>
    </w:p>
    <w:p w14:paraId="07D25599"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Encouraging and acting on feedback</w:t>
      </w:r>
      <w:r>
        <w:t>.</w:t>
      </w:r>
    </w:p>
    <w:p w14:paraId="2B2A80C9"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 xml:space="preserve">Responding to new developments from the Department of Health and Social Care and other national guidance regarding the Choice agenda and ensuring these are implemented locally.    </w:t>
      </w:r>
    </w:p>
    <w:p w14:paraId="189B6D53" w14:textId="0C349703" w:rsidR="00A320E8" w:rsidRPr="005D435C" w:rsidRDefault="00A320E8" w:rsidP="00A320E8">
      <w:pPr>
        <w:pStyle w:val="Style2"/>
        <w:contextualSpacing w:val="0"/>
      </w:pPr>
      <w:r w:rsidRPr="005D435C">
        <w:t xml:space="preserve">The needs of </w:t>
      </w:r>
      <w:r>
        <w:t>Essex</w:t>
      </w:r>
      <w:r w:rsidRPr="005D435C">
        <w:t xml:space="preserve"> residents are paramount, and they deserve the best care </w:t>
      </w:r>
      <w:r>
        <w:t>the ICB</w:t>
      </w:r>
      <w:r w:rsidRPr="005D435C">
        <w:t xml:space="preserve"> can commission for them. </w:t>
      </w:r>
      <w:r>
        <w:t>The ICB</w:t>
      </w:r>
      <w:r w:rsidRPr="005D435C">
        <w:t xml:space="preserve"> will work together as a system to drive continuous improvement, building mature relationships with our partners and providers based on integrity and trust.  </w:t>
      </w:r>
    </w:p>
    <w:p w14:paraId="1DBDB583" w14:textId="77777777" w:rsidR="00A320E8" w:rsidRPr="005D435C" w:rsidRDefault="00A320E8" w:rsidP="00A320E8">
      <w:pPr>
        <w:pStyle w:val="Style2"/>
        <w:contextualSpacing w:val="0"/>
      </w:pPr>
      <w:r w:rsidRPr="005D435C">
        <w:t xml:space="preserve">The vision outlined in this document is for shared decision making to become the norm for everyone, whatever their need or background.   </w:t>
      </w:r>
    </w:p>
    <w:p w14:paraId="11E92A73" w14:textId="77777777" w:rsidR="00A320E8" w:rsidRPr="005D435C" w:rsidRDefault="00A320E8" w:rsidP="00A320E8">
      <w:pPr>
        <w:pStyle w:val="Style2"/>
        <w:contextualSpacing w:val="0"/>
      </w:pPr>
      <w:r w:rsidRPr="005D435C">
        <w:t xml:space="preserve">Therefore, </w:t>
      </w:r>
      <w:r>
        <w:t>the ICB</w:t>
      </w:r>
      <w:r w:rsidRPr="005D435C">
        <w:t xml:space="preserve"> need to ensure that </w:t>
      </w:r>
      <w:r>
        <w:t>they</w:t>
      </w:r>
      <w:r w:rsidRPr="005D435C">
        <w:t xml:space="preserve"> are compliant with statutory legislation and the Department of Health and Social care regulations in enabling individuals to share in decisions about their care, the choices they have and when they do or do not apply. </w:t>
      </w:r>
    </w:p>
    <w:p w14:paraId="390E38AC" w14:textId="33C7BC4C" w:rsidR="00A320E8" w:rsidRPr="005D435C" w:rsidRDefault="00EF0A5C" w:rsidP="00A320E8">
      <w:pPr>
        <w:pStyle w:val="Style2"/>
        <w:contextualSpacing w:val="0"/>
      </w:pPr>
      <w:r>
        <w:t>E</w:t>
      </w:r>
      <w:r w:rsidR="00A320E8">
        <w:t>ICB</w:t>
      </w:r>
      <w:r w:rsidR="00A320E8" w:rsidRPr="005D435C">
        <w:t xml:space="preserve"> will follow the guidance set out within the choice framework and commit to the following key actions:    </w:t>
      </w:r>
    </w:p>
    <w:p w14:paraId="71A0EF7B"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Providing clear information on the current offer of choice of any provider and explore with professional and service user groups how we can develop our approach further</w:t>
      </w:r>
      <w:r>
        <w:t>.</w:t>
      </w:r>
    </w:p>
    <w:p w14:paraId="46102916" w14:textId="0DA52A96"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 xml:space="preserve">Continue to develop an understanding of the current mix of provider services in </w:t>
      </w:r>
      <w:r>
        <w:t>Essex</w:t>
      </w:r>
      <w:r w:rsidRPr="005D435C">
        <w:t xml:space="preserve"> and identify where change is required to meet strategic objectives and choice options. </w:t>
      </w:r>
      <w:r>
        <w:t>EICB</w:t>
      </w:r>
      <w:r w:rsidRPr="005D435C">
        <w:t xml:space="preserve"> will also engage current and future service providers to improve engagement and encourage market development</w:t>
      </w:r>
      <w:r>
        <w:t>.</w:t>
      </w:r>
    </w:p>
    <w:p w14:paraId="7504FDF1"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 xml:space="preserve">Ensure good partnership working so that:   </w:t>
      </w:r>
    </w:p>
    <w:p w14:paraId="5B8EF54B" w14:textId="77777777" w:rsidR="00A320E8" w:rsidRPr="005D435C" w:rsidRDefault="00A320E8" w:rsidP="00A320E8">
      <w:pPr>
        <w:pStyle w:val="ListParagraph"/>
        <w:widowControl w:val="0"/>
        <w:numPr>
          <w:ilvl w:val="2"/>
          <w:numId w:val="29"/>
        </w:numPr>
        <w:autoSpaceDE w:val="0"/>
        <w:autoSpaceDN w:val="0"/>
        <w:spacing w:before="1" w:after="0" w:line="293" w:lineRule="exact"/>
        <w:ind w:left="2552" w:right="-46" w:hanging="432"/>
        <w:contextualSpacing w:val="0"/>
      </w:pPr>
      <w:r>
        <w:t>m</w:t>
      </w:r>
      <w:r w:rsidRPr="005D435C">
        <w:t xml:space="preserve">embers of the </w:t>
      </w:r>
      <w:proofErr w:type="gramStart"/>
      <w:r w:rsidRPr="005D435C">
        <w:t>general public</w:t>
      </w:r>
      <w:proofErr w:type="gramEnd"/>
      <w:r w:rsidRPr="005D435C">
        <w:t xml:space="preserve"> and patients can influence commissioning. </w:t>
      </w:r>
    </w:p>
    <w:p w14:paraId="16652A12" w14:textId="77777777" w:rsidR="00A320E8" w:rsidRPr="005D435C" w:rsidRDefault="00A320E8" w:rsidP="00A320E8">
      <w:pPr>
        <w:pStyle w:val="ListParagraph"/>
        <w:widowControl w:val="0"/>
        <w:numPr>
          <w:ilvl w:val="2"/>
          <w:numId w:val="29"/>
        </w:numPr>
        <w:autoSpaceDE w:val="0"/>
        <w:autoSpaceDN w:val="0"/>
        <w:spacing w:before="1" w:after="0" w:line="293" w:lineRule="exact"/>
        <w:ind w:left="2552" w:right="-46" w:hanging="432"/>
        <w:contextualSpacing w:val="0"/>
      </w:pPr>
      <w:r>
        <w:t>clinicians are supported</w:t>
      </w:r>
      <w:r w:rsidRPr="005D435C">
        <w:t xml:space="preserve"> to empower patients to manage their own conditions.</w:t>
      </w:r>
    </w:p>
    <w:p w14:paraId="420BB6A0" w14:textId="77777777" w:rsidR="00A320E8" w:rsidRPr="005D435C" w:rsidRDefault="00A320E8" w:rsidP="00A320E8">
      <w:pPr>
        <w:pStyle w:val="ListParagraph"/>
        <w:widowControl w:val="0"/>
        <w:numPr>
          <w:ilvl w:val="2"/>
          <w:numId w:val="29"/>
        </w:numPr>
        <w:autoSpaceDE w:val="0"/>
        <w:autoSpaceDN w:val="0"/>
        <w:spacing w:before="1" w:after="0" w:line="293" w:lineRule="exact"/>
        <w:ind w:left="2552" w:right="-46" w:hanging="432"/>
        <w:contextualSpacing w:val="0"/>
      </w:pPr>
      <w:r w:rsidRPr="005D435C">
        <w:t xml:space="preserve">opportunities for choice are explored with patients at different decision points along the care pathway.   </w:t>
      </w:r>
    </w:p>
    <w:p w14:paraId="5669F9E8" w14:textId="77777777"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t>Continuous evaluation of services to ensure value for money, cost efficiency and effectiveness in delivering clinical outcomes</w:t>
      </w:r>
      <w:r>
        <w:t>.</w:t>
      </w:r>
      <w:r w:rsidRPr="005D435C">
        <w:t xml:space="preserve">  </w:t>
      </w:r>
    </w:p>
    <w:p w14:paraId="3AA514B2" w14:textId="145F71EB" w:rsidR="00A320E8" w:rsidRPr="005D435C" w:rsidRDefault="00A320E8" w:rsidP="00A320E8">
      <w:pPr>
        <w:pStyle w:val="ListParagraph"/>
        <w:widowControl w:val="0"/>
        <w:numPr>
          <w:ilvl w:val="1"/>
          <w:numId w:val="29"/>
        </w:numPr>
        <w:autoSpaceDE w:val="0"/>
        <w:autoSpaceDN w:val="0"/>
        <w:spacing w:before="1" w:after="0" w:line="293" w:lineRule="exact"/>
        <w:ind w:left="1701" w:right="-46" w:hanging="567"/>
        <w:contextualSpacing w:val="0"/>
      </w:pPr>
      <w:r w:rsidRPr="005D435C">
        <w:lastRenderedPageBreak/>
        <w:t xml:space="preserve">Incorporating choice into our commissioning strategy to ensure that choice is considered for all </w:t>
      </w:r>
      <w:r>
        <w:t>Essex</w:t>
      </w:r>
      <w:r w:rsidRPr="005D435C">
        <w:t xml:space="preserve"> residents at all stages of life</w:t>
      </w:r>
      <w:r>
        <w:t>.</w:t>
      </w:r>
    </w:p>
    <w:p w14:paraId="6A17BB37" w14:textId="4CE974C0" w:rsidR="00A320E8" w:rsidRDefault="00A320E8" w:rsidP="00A320E8">
      <w:pPr>
        <w:pStyle w:val="Style2"/>
        <w:contextualSpacing w:val="0"/>
      </w:pPr>
      <w:r w:rsidRPr="005D435C">
        <w:t>Promote the choice agenda and raise awareness across</w:t>
      </w:r>
      <w:r w:rsidR="00ED659C">
        <w:t xml:space="preserve"> the </w:t>
      </w:r>
      <w:r>
        <w:t>Essex</w:t>
      </w:r>
      <w:r w:rsidRPr="005D435C">
        <w:t xml:space="preserve"> system through organisational and workforce development.</w:t>
      </w:r>
    </w:p>
    <w:p w14:paraId="2B7622EB" w14:textId="77777777" w:rsidR="00A320E8" w:rsidRDefault="00A320E8" w:rsidP="00A320E8">
      <w:pPr>
        <w:pStyle w:val="Heading3"/>
      </w:pPr>
      <w:bookmarkStart w:id="55" w:name="_Toc229036819"/>
      <w:r>
        <w:t>Further Support</w:t>
      </w:r>
      <w:bookmarkEnd w:id="55"/>
      <w:r>
        <w:t xml:space="preserve"> </w:t>
      </w:r>
    </w:p>
    <w:p w14:paraId="6E266776" w14:textId="77777777" w:rsidR="00A320E8" w:rsidRPr="00C30070" w:rsidRDefault="00A320E8" w:rsidP="00A320E8">
      <w:pPr>
        <w:pStyle w:val="Style2"/>
        <w:contextualSpacing w:val="0"/>
      </w:pPr>
      <w:bookmarkStart w:id="56" w:name="_Toc89326553"/>
      <w:bookmarkStart w:id="57" w:name="_Toc170931781"/>
      <w:r>
        <w:t>Patients</w:t>
      </w:r>
      <w:r w:rsidRPr="00C30070">
        <w:t xml:space="preserve"> referred to hospital or other NHS premises for specialist NHS treatment or diagnostic tests by a doctor, dentist, or another primary care health professional, may be able to claim a refund of reasonable travel costs under the Healthcare Travel Costs Scheme (HTCS). For more information see: </w:t>
      </w:r>
      <w:hyperlink r:id="rId27" w:history="1">
        <w:r w:rsidRPr="00C30070">
          <w:rPr>
            <w:rStyle w:val="Hyperlink"/>
          </w:rPr>
          <w:t>https://www.nhs.uk/nhs-services/help-with-health-costs/healthcare-travel-costs-scheme-htcs/</w:t>
        </w:r>
      </w:hyperlink>
      <w:r w:rsidRPr="00C30070">
        <w:t xml:space="preserve"> </w:t>
      </w:r>
    </w:p>
    <w:p w14:paraId="525C0EC1" w14:textId="12255B97" w:rsidR="00A320E8" w:rsidRPr="00BC7BAA" w:rsidRDefault="00A320E8" w:rsidP="00A320E8">
      <w:pPr>
        <w:pStyle w:val="Style2"/>
        <w:contextualSpacing w:val="0"/>
        <w:rPr>
          <w:color w:val="auto"/>
        </w:rPr>
      </w:pPr>
      <w:r>
        <w:t xml:space="preserve">Patients who </w:t>
      </w:r>
      <w:r w:rsidRPr="00C30070">
        <w:t>are unhappy with the choices, or lack of choices offered, can make a formal complaint to the ICB:</w:t>
      </w:r>
      <w:r>
        <w:t xml:space="preserve"> </w:t>
      </w:r>
      <w:hyperlink r:id="rId28" w:history="1">
        <w:r w:rsidR="00066A68" w:rsidRPr="00D762EA">
          <w:rPr>
            <w:rStyle w:val="Hyperlink"/>
          </w:rPr>
          <w:t>eicb.complaints@nhs.net</w:t>
        </w:r>
      </w:hyperlink>
      <w:r w:rsidR="00066A68">
        <w:t xml:space="preserve">. </w:t>
      </w:r>
    </w:p>
    <w:p w14:paraId="6EA5B974" w14:textId="77777777" w:rsidR="00F40D75" w:rsidRPr="00F40D75" w:rsidRDefault="00F40D75" w:rsidP="00F40D75">
      <w:pPr>
        <w:pStyle w:val="Heading2"/>
      </w:pPr>
      <w:bookmarkStart w:id="58" w:name="_Toc229036820"/>
      <w:bookmarkEnd w:id="37"/>
      <w:bookmarkEnd w:id="49"/>
      <w:bookmarkEnd w:id="56"/>
      <w:bookmarkEnd w:id="57"/>
      <w:r w:rsidRPr="00F40D75">
        <w:t>Monitoring Compliance</w:t>
      </w:r>
      <w:bookmarkEnd w:id="35"/>
      <w:bookmarkEnd w:id="36"/>
      <w:bookmarkEnd w:id="58"/>
    </w:p>
    <w:p w14:paraId="44DAC11D" w14:textId="77777777" w:rsidR="00672677" w:rsidRDefault="00672677" w:rsidP="008202FD">
      <w:pPr>
        <w:pStyle w:val="Style1"/>
        <w:ind w:left="1134"/>
      </w:pPr>
      <w:bookmarkStart w:id="59" w:name="_Toc95149185"/>
      <w:bookmarkStart w:id="60" w:name="_Toc216880687"/>
      <w:r>
        <w:t xml:space="preserve">Staff will be directed to the policy through internal </w:t>
      </w:r>
      <w:proofErr w:type="gramStart"/>
      <w:r>
        <w:t>communications,</w:t>
      </w:r>
      <w:proofErr w:type="gramEnd"/>
      <w:r>
        <w:t xml:space="preserve"> external stakeholders will be made aware of the police via external communications.  </w:t>
      </w:r>
    </w:p>
    <w:p w14:paraId="4A8D324D" w14:textId="77777777" w:rsidR="00EF74B3" w:rsidRDefault="00672677" w:rsidP="008202FD">
      <w:pPr>
        <w:pStyle w:val="Style1"/>
        <w:ind w:left="1134"/>
      </w:pPr>
      <w:r>
        <w:t xml:space="preserve">Operational guidance has been developed to support </w:t>
      </w:r>
      <w:proofErr w:type="gramStart"/>
      <w:r>
        <w:t>this</w:t>
      </w:r>
      <w:proofErr w:type="gramEnd"/>
      <w:r>
        <w:t xml:space="preserve"> Policy.</w:t>
      </w:r>
    </w:p>
    <w:p w14:paraId="172F4676" w14:textId="630D3A70" w:rsidR="00672677" w:rsidRPr="00F40D75" w:rsidRDefault="00EF74B3" w:rsidP="008202FD">
      <w:pPr>
        <w:pStyle w:val="Style1"/>
        <w:ind w:left="1134"/>
      </w:pPr>
      <w:r>
        <w:t xml:space="preserve">Essex ICB will monitor compliance to this Policy via audit of </w:t>
      </w:r>
      <w:proofErr w:type="spellStart"/>
      <w:r>
        <w:t>eRS</w:t>
      </w:r>
      <w:proofErr w:type="spellEnd"/>
      <w:r>
        <w:t xml:space="preserve"> data and enhanced engagement of local community groups.  </w:t>
      </w:r>
      <w:r w:rsidR="00672677">
        <w:t xml:space="preserve"> </w:t>
      </w:r>
    </w:p>
    <w:p w14:paraId="2C8D10A0" w14:textId="1D680DFC" w:rsidR="00F40D75" w:rsidRPr="00F40D75" w:rsidRDefault="002B032A" w:rsidP="00F40D75">
      <w:pPr>
        <w:pStyle w:val="Heading2"/>
      </w:pPr>
      <w:bookmarkStart w:id="61" w:name="_Toc229036821"/>
      <w:r w:rsidRPr="006920A6">
        <w:t>Implementation and</w:t>
      </w:r>
      <w:r>
        <w:t xml:space="preserve"> </w:t>
      </w:r>
      <w:r w:rsidR="00F40D75" w:rsidRPr="00F40D75">
        <w:t>Staff Training</w:t>
      </w:r>
      <w:bookmarkEnd w:id="59"/>
      <w:bookmarkEnd w:id="60"/>
      <w:bookmarkEnd w:id="61"/>
    </w:p>
    <w:p w14:paraId="09AE0876" w14:textId="7D020139" w:rsidR="002319A6" w:rsidRDefault="00301333" w:rsidP="00330671">
      <w:pPr>
        <w:pStyle w:val="Style2"/>
        <w:numPr>
          <w:ilvl w:val="0"/>
          <w:numId w:val="0"/>
        </w:numPr>
        <w:ind w:left="1134"/>
      </w:pPr>
      <w:bookmarkStart w:id="62" w:name="_Toc95149186"/>
      <w:bookmarkStart w:id="63" w:name="_Toc216880688"/>
      <w:r>
        <w:t>Staff will be directed to the policy through internal communications</w:t>
      </w:r>
      <w:r w:rsidR="002319A6">
        <w:t xml:space="preserve"> and appropriate training.</w:t>
      </w:r>
      <w:r>
        <w:t xml:space="preserve"> </w:t>
      </w:r>
      <w:r w:rsidR="00817F7A">
        <w:t xml:space="preserve">Operational guidance has been developed </w:t>
      </w:r>
      <w:r w:rsidR="00366A85">
        <w:t>for staff</w:t>
      </w:r>
      <w:r w:rsidR="00817F7A">
        <w:t xml:space="preserve"> </w:t>
      </w:r>
      <w:r w:rsidR="00366A85">
        <w:t xml:space="preserve">to </w:t>
      </w:r>
      <w:r w:rsidR="00817F7A">
        <w:t>support this Policy</w:t>
      </w:r>
      <w:r w:rsidR="00274589">
        <w:t xml:space="preserve"> and is available on the ICB’s intranet</w:t>
      </w:r>
      <w:r w:rsidR="009A7435">
        <w:t xml:space="preserve"> or via </w:t>
      </w:r>
      <w:hyperlink r:id="rId29" w:history="1">
        <w:r w:rsidR="00330671" w:rsidRPr="00525089">
          <w:rPr>
            <w:rStyle w:val="Hyperlink"/>
          </w:rPr>
          <w:t>mseicb-bb.patientchoice@nhs.net</w:t>
        </w:r>
      </w:hyperlink>
      <w:r w:rsidR="00330671">
        <w:t>.</w:t>
      </w:r>
    </w:p>
    <w:p w14:paraId="52A3DED5" w14:textId="530ABFA4" w:rsidR="00301333" w:rsidRPr="00F40D75" w:rsidRDefault="00470482" w:rsidP="008202FD">
      <w:pPr>
        <w:pStyle w:val="Style1"/>
        <w:ind w:left="1134"/>
      </w:pPr>
      <w:r>
        <w:t xml:space="preserve">Patient, carers and other external </w:t>
      </w:r>
      <w:r w:rsidR="00E36781">
        <w:t>stakeholders</w:t>
      </w:r>
      <w:r w:rsidR="00301333">
        <w:t xml:space="preserve"> will be made aware of the policy via external communications</w:t>
      </w:r>
      <w:r w:rsidR="00E36781">
        <w:t xml:space="preserve"> and is available via the ICB website (</w:t>
      </w:r>
      <w:hyperlink r:id="rId30" w:history="1">
        <w:r w:rsidR="00DE2CEB" w:rsidRPr="00DE2CEB">
          <w:rPr>
            <w:rStyle w:val="Hyperlink"/>
          </w:rPr>
          <w:t>http://www.essex.icb.nhs.uk/about/corporate-information/policies</w:t>
        </w:r>
      </w:hyperlink>
      <w:r w:rsidR="00E36781">
        <w:t>)</w:t>
      </w:r>
      <w:r w:rsidR="00301333">
        <w:t xml:space="preserve">.  </w:t>
      </w:r>
    </w:p>
    <w:p w14:paraId="79AD837E" w14:textId="26F14272" w:rsidR="00F40D75" w:rsidRPr="00F40D75" w:rsidRDefault="00F40D75" w:rsidP="006F668C">
      <w:pPr>
        <w:pStyle w:val="Heading2"/>
      </w:pPr>
      <w:bookmarkStart w:id="64" w:name="_Toc229036822"/>
      <w:r w:rsidRPr="00F40D75">
        <w:t xml:space="preserve">Arrangements </w:t>
      </w:r>
      <w:r>
        <w:t>f</w:t>
      </w:r>
      <w:r w:rsidRPr="00F40D75">
        <w:t>or Review</w:t>
      </w:r>
      <w:bookmarkEnd w:id="62"/>
      <w:bookmarkEnd w:id="63"/>
      <w:bookmarkEnd w:id="64"/>
    </w:p>
    <w:p w14:paraId="36047A42" w14:textId="77777777" w:rsidR="00C02269" w:rsidRPr="00F40D75" w:rsidRDefault="00C02269" w:rsidP="008202FD">
      <w:pPr>
        <w:pStyle w:val="Style1"/>
        <w:ind w:left="1134"/>
      </w:pPr>
      <w:r w:rsidRPr="00F40D75">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64D311E9" w14:textId="77777777" w:rsidR="00C02269" w:rsidRPr="00F40D75" w:rsidRDefault="00C02269" w:rsidP="008202FD">
      <w:pPr>
        <w:pStyle w:val="Style1"/>
        <w:ind w:left="1134"/>
      </w:pPr>
      <w:r w:rsidRPr="00F40D75">
        <w:lastRenderedPageBreak/>
        <w:t>If only minor changes are required, the sponsoring Committee has authority to make these changes without referral to the Integrated Care Board. If more significant or substantial changes are required, the policy will need to be ratified by the relevant committee before final approval by the Integrated Care Board.</w:t>
      </w:r>
    </w:p>
    <w:p w14:paraId="6BC20907" w14:textId="0C17D6BE" w:rsidR="00F40D75" w:rsidRPr="00F40D75" w:rsidRDefault="00F40D75" w:rsidP="00F40D75">
      <w:pPr>
        <w:pStyle w:val="Heading2"/>
      </w:pPr>
      <w:bookmarkStart w:id="65" w:name="_Toc95149187"/>
      <w:bookmarkStart w:id="66" w:name="_Toc216880689"/>
      <w:bookmarkStart w:id="67" w:name="_Toc229036823"/>
      <w:r w:rsidRPr="00F40D75">
        <w:t xml:space="preserve">Associated Policies, Guidance </w:t>
      </w:r>
      <w:r>
        <w:t>a</w:t>
      </w:r>
      <w:r w:rsidRPr="00F40D75">
        <w:t>nd Documents</w:t>
      </w:r>
      <w:bookmarkEnd w:id="65"/>
      <w:bookmarkEnd w:id="66"/>
      <w:bookmarkEnd w:id="67"/>
    </w:p>
    <w:p w14:paraId="0F4C839D" w14:textId="7F137A96" w:rsidR="008F359E" w:rsidRPr="00F40D75" w:rsidRDefault="008F359E" w:rsidP="008F359E">
      <w:pPr>
        <w:pStyle w:val="ListParagraph"/>
        <w:widowControl w:val="0"/>
        <w:numPr>
          <w:ilvl w:val="1"/>
          <w:numId w:val="29"/>
        </w:numPr>
        <w:autoSpaceDE w:val="0"/>
        <w:autoSpaceDN w:val="0"/>
        <w:spacing w:before="1" w:after="0" w:line="293" w:lineRule="exact"/>
        <w:ind w:left="1701" w:right="-46" w:hanging="567"/>
        <w:contextualSpacing w:val="0"/>
      </w:pPr>
      <w:bookmarkStart w:id="68" w:name="_Toc95149188"/>
      <w:bookmarkStart w:id="69" w:name="_Toc216880690"/>
      <w:r>
        <w:t xml:space="preserve">Patient Choice – Operational Guidance </w:t>
      </w:r>
    </w:p>
    <w:p w14:paraId="0561D051" w14:textId="5BFB2B2D" w:rsidR="008F359E" w:rsidRPr="00953589" w:rsidRDefault="008F359E" w:rsidP="008F359E">
      <w:pPr>
        <w:widowControl w:val="0"/>
        <w:spacing w:before="100" w:beforeAutospacing="1" w:after="100" w:afterAutospacing="1"/>
        <w:ind w:left="414" w:firstLine="720"/>
        <w:outlineLvl w:val="3"/>
        <w:rPr>
          <w:rFonts w:asciiTheme="majorHAnsi" w:eastAsiaTheme="majorEastAsia" w:hAnsiTheme="majorHAnsi" w:cstheme="majorBidi"/>
          <w:b/>
          <w:iCs/>
        </w:rPr>
      </w:pPr>
      <w:hyperlink r:id="rId31" w:history="1">
        <w:r w:rsidRPr="00953589">
          <w:rPr>
            <w:rStyle w:val="Hyperlink"/>
            <w:rFonts w:asciiTheme="majorHAnsi" w:eastAsiaTheme="majorEastAsia" w:hAnsiTheme="majorHAnsi" w:cstheme="majorBidi"/>
            <w:b/>
            <w:iCs/>
          </w:rPr>
          <w:t>Associated Policies</w:t>
        </w:r>
      </w:hyperlink>
    </w:p>
    <w:p w14:paraId="14816255" w14:textId="33AC19F2" w:rsidR="008F359E" w:rsidRPr="00953589" w:rsidRDefault="008F359E" w:rsidP="008F359E">
      <w:pPr>
        <w:pStyle w:val="ListParagraph"/>
        <w:widowControl w:val="0"/>
        <w:numPr>
          <w:ilvl w:val="1"/>
          <w:numId w:val="29"/>
        </w:numPr>
        <w:autoSpaceDE w:val="0"/>
        <w:autoSpaceDN w:val="0"/>
        <w:spacing w:before="1" w:after="0" w:line="293" w:lineRule="exact"/>
        <w:ind w:left="1701" w:right="-46" w:hanging="567"/>
        <w:contextualSpacing w:val="0"/>
      </w:pPr>
      <w:r w:rsidRPr="00953589">
        <w:t xml:space="preserve">Commissioning (Service Restriction) Policy </w:t>
      </w:r>
    </w:p>
    <w:p w14:paraId="0B6291B1" w14:textId="77777777" w:rsidR="00F40D75" w:rsidRPr="00F40D75" w:rsidRDefault="00F40D75" w:rsidP="00F40D75">
      <w:pPr>
        <w:pStyle w:val="Heading2"/>
      </w:pPr>
      <w:bookmarkStart w:id="70" w:name="_Toc229036824"/>
      <w:r w:rsidRPr="00F40D75">
        <w:t>References</w:t>
      </w:r>
      <w:bookmarkEnd w:id="68"/>
      <w:bookmarkEnd w:id="69"/>
      <w:bookmarkEnd w:id="70"/>
    </w:p>
    <w:p w14:paraId="29088A28" w14:textId="77777777" w:rsidR="000168A8" w:rsidRPr="00931A08" w:rsidRDefault="000168A8" w:rsidP="000168A8">
      <w:pPr>
        <w:rPr>
          <w:b/>
          <w:bCs/>
        </w:rPr>
      </w:pPr>
      <w:bookmarkStart w:id="71" w:name="_Toc95149189"/>
      <w:bookmarkStart w:id="72" w:name="_Toc216880691"/>
      <w:r w:rsidRPr="00931A08">
        <w:rPr>
          <w:b/>
          <w:bCs/>
        </w:rPr>
        <w:t xml:space="preserve">The NHS Constitution 2015:  </w:t>
      </w:r>
    </w:p>
    <w:p w14:paraId="47A8F979" w14:textId="77777777" w:rsidR="000168A8" w:rsidRPr="00523A3F" w:rsidRDefault="000168A8" w:rsidP="000168A8">
      <w:hyperlink w:history="1">
        <w:r w:rsidRPr="004A4D58">
          <w:rPr>
            <w:rStyle w:val="Hyperlink"/>
          </w:rPr>
          <w:t>NHS Constitution for England - GOV.UK (www.gov.uk)</w:t>
        </w:r>
      </w:hyperlink>
    </w:p>
    <w:p w14:paraId="387761BC" w14:textId="77777777" w:rsidR="000168A8" w:rsidRPr="00931A08" w:rsidRDefault="000168A8" w:rsidP="000168A8">
      <w:pPr>
        <w:rPr>
          <w:b/>
          <w:bCs/>
        </w:rPr>
      </w:pPr>
      <w:r w:rsidRPr="00931A08">
        <w:rPr>
          <w:b/>
          <w:bCs/>
        </w:rPr>
        <w:t xml:space="preserve">The NHS Choice Framework 2020: </w:t>
      </w:r>
    </w:p>
    <w:p w14:paraId="56ED4DC6" w14:textId="77777777" w:rsidR="000168A8" w:rsidRPr="00523A3F" w:rsidRDefault="000168A8" w:rsidP="000168A8">
      <w:hyperlink w:history="1">
        <w:r w:rsidRPr="00C11E05">
          <w:rPr>
            <w:rStyle w:val="Hyperlink"/>
          </w:rPr>
          <w:t>NHS Choice Framework - what choices are available to you in your NHS care - GOV.UK (www.gov.uk)</w:t>
        </w:r>
      </w:hyperlink>
    </w:p>
    <w:p w14:paraId="68CD9505" w14:textId="77777777" w:rsidR="000168A8" w:rsidRPr="00523A3F" w:rsidRDefault="000168A8" w:rsidP="000168A8">
      <w:hyperlink r:id="rId32" w:history="1">
        <w:r>
          <w:rPr>
            <w:rStyle w:val="Hyperlink"/>
          </w:rPr>
          <w:t>NHS England » Choice</w:t>
        </w:r>
      </w:hyperlink>
    </w:p>
    <w:p w14:paraId="31DAD6D4" w14:textId="77777777" w:rsidR="000168A8" w:rsidRPr="00931A08" w:rsidRDefault="000168A8" w:rsidP="000168A8">
      <w:pPr>
        <w:rPr>
          <w:b/>
          <w:bCs/>
        </w:rPr>
      </w:pPr>
      <w:r w:rsidRPr="00931A08">
        <w:rPr>
          <w:b/>
          <w:bCs/>
        </w:rPr>
        <w:t xml:space="preserve">Universal Personalised Care: Implementing the Comprehensive Model: </w:t>
      </w:r>
    </w:p>
    <w:p w14:paraId="33706014" w14:textId="77777777" w:rsidR="000168A8" w:rsidRDefault="000168A8" w:rsidP="000168A8">
      <w:hyperlink r:id="rId33" w:history="1">
        <w:r>
          <w:rPr>
            <w:rStyle w:val="Hyperlink"/>
          </w:rPr>
          <w:t xml:space="preserve">NHS England report </w:t>
        </w:r>
      </w:hyperlink>
    </w:p>
    <w:p w14:paraId="7922A9AB" w14:textId="77777777" w:rsidR="000168A8" w:rsidRPr="00461A8C" w:rsidRDefault="000168A8" w:rsidP="000168A8">
      <w:pPr>
        <w:rPr>
          <w:b/>
          <w:bCs/>
        </w:rPr>
      </w:pPr>
      <w:r w:rsidRPr="00461A8C">
        <w:rPr>
          <w:b/>
          <w:bCs/>
        </w:rPr>
        <w:t>The NHS Long Term Plan:</w:t>
      </w:r>
    </w:p>
    <w:p w14:paraId="41D3ED1F" w14:textId="77777777" w:rsidR="000168A8" w:rsidRPr="00523A3F" w:rsidRDefault="000168A8" w:rsidP="000168A8">
      <w:hyperlink r:id="rId34" w:history="1">
        <w:r>
          <w:rPr>
            <w:rStyle w:val="Hyperlink"/>
          </w:rPr>
          <w:t>NHS Long Term Plan v1.2 August 2019</w:t>
        </w:r>
      </w:hyperlink>
    </w:p>
    <w:p w14:paraId="7A3C9C98" w14:textId="77777777" w:rsidR="000168A8" w:rsidRPr="00C300F7" w:rsidRDefault="000168A8" w:rsidP="000168A8">
      <w:pPr>
        <w:rPr>
          <w:b/>
          <w:bCs/>
        </w:rPr>
      </w:pPr>
      <w:r w:rsidRPr="00C300F7">
        <w:rPr>
          <w:b/>
          <w:bCs/>
        </w:rPr>
        <w:t xml:space="preserve">The Health and Social Care Act 2012 </w:t>
      </w:r>
    </w:p>
    <w:p w14:paraId="0250675D" w14:textId="77777777" w:rsidR="000168A8" w:rsidRDefault="000168A8" w:rsidP="000168A8">
      <w:hyperlink r:id="rId35" w:history="1">
        <w:r>
          <w:rPr>
            <w:rStyle w:val="Hyperlink"/>
          </w:rPr>
          <w:t>Unknown (legislation.gov.uk)</w:t>
        </w:r>
      </w:hyperlink>
    </w:p>
    <w:p w14:paraId="6199FCE0" w14:textId="77777777" w:rsidR="000168A8" w:rsidRPr="00C90108" w:rsidRDefault="000168A8" w:rsidP="000168A8">
      <w:pPr>
        <w:rPr>
          <w:b/>
          <w:bCs/>
        </w:rPr>
      </w:pPr>
      <w:r w:rsidRPr="00C90108">
        <w:rPr>
          <w:b/>
          <w:bCs/>
        </w:rPr>
        <w:t xml:space="preserve">The Provider Selection Regime: </w:t>
      </w:r>
      <w:r>
        <w:rPr>
          <w:b/>
          <w:bCs/>
        </w:rPr>
        <w:t>S</w:t>
      </w:r>
      <w:r w:rsidRPr="00C90108">
        <w:rPr>
          <w:b/>
          <w:bCs/>
        </w:rPr>
        <w:t>tatutory guidance 18/10/2023</w:t>
      </w:r>
    </w:p>
    <w:p w14:paraId="6B871004" w14:textId="77777777" w:rsidR="000168A8" w:rsidRPr="00523A3F" w:rsidRDefault="000168A8" w:rsidP="000168A8">
      <w:hyperlink r:id="rId36" w:history="1">
        <w:r>
          <w:rPr>
            <w:rStyle w:val="Hyperlink"/>
          </w:rPr>
          <w:t>NHS England » The Provider Selection Regime: statutory guidance</w:t>
        </w:r>
      </w:hyperlink>
    </w:p>
    <w:p w14:paraId="377E56D9" w14:textId="77777777" w:rsidR="000168A8" w:rsidRPr="00A7749D" w:rsidRDefault="000168A8" w:rsidP="000168A8">
      <w:pPr>
        <w:rPr>
          <w:b/>
          <w:bCs/>
        </w:rPr>
      </w:pPr>
      <w:r w:rsidRPr="00A7749D">
        <w:rPr>
          <w:b/>
          <w:bCs/>
        </w:rPr>
        <w:t>Medicines optimisation: the safe and effective use of medicines to enable the best possible outcomes 2015.</w:t>
      </w:r>
    </w:p>
    <w:p w14:paraId="04D6A42B" w14:textId="77777777" w:rsidR="000168A8" w:rsidRPr="00523A3F" w:rsidRDefault="000168A8" w:rsidP="000168A8">
      <w:hyperlink r:id="rId37" w:history="1">
        <w:r>
          <w:rPr>
            <w:rStyle w:val="Hyperlink"/>
          </w:rPr>
          <w:t>Introduction | Medicines optimisation: the safe and effective use of medicines to enable the best possible outcomes | Guidance | NICE</w:t>
        </w:r>
      </w:hyperlink>
    </w:p>
    <w:p w14:paraId="3964B739" w14:textId="77777777" w:rsidR="000168A8" w:rsidRPr="00A7749D" w:rsidRDefault="000168A8" w:rsidP="000168A8">
      <w:pPr>
        <w:rPr>
          <w:b/>
          <w:bCs/>
        </w:rPr>
      </w:pPr>
      <w:r w:rsidRPr="00A7749D">
        <w:rPr>
          <w:b/>
          <w:bCs/>
        </w:rPr>
        <w:lastRenderedPageBreak/>
        <w:t>Medicines: Improving outcomes and value; Medicines Optimisation NHSE</w:t>
      </w:r>
    </w:p>
    <w:p w14:paraId="67D5E8FC" w14:textId="77777777" w:rsidR="000168A8" w:rsidRDefault="000168A8" w:rsidP="000168A8">
      <w:pPr>
        <w:rPr>
          <w:rStyle w:val="Hyperlink"/>
        </w:rPr>
      </w:pPr>
      <w:hyperlink r:id="rId38" w:history="1">
        <w:r>
          <w:rPr>
            <w:rStyle w:val="Hyperlink"/>
          </w:rPr>
          <w:t>NHS England » Medicines optimisation</w:t>
        </w:r>
      </w:hyperlink>
    </w:p>
    <w:p w14:paraId="1457FF3D" w14:textId="77777777" w:rsidR="000168A8" w:rsidRPr="00523A3F" w:rsidRDefault="000168A8" w:rsidP="000168A8">
      <w:hyperlink r:id="rId39" w:history="1">
        <w:r>
          <w:rPr>
            <w:rStyle w:val="Hyperlink"/>
          </w:rPr>
          <w:t>Overview | Medicines adherence: involving patients in decisions about prescribed medicines and supporting adherence | Guidance | NICE</w:t>
        </w:r>
      </w:hyperlink>
    </w:p>
    <w:p w14:paraId="0EE78C06" w14:textId="77777777" w:rsidR="000168A8" w:rsidRPr="00523A3F" w:rsidRDefault="000168A8" w:rsidP="000168A8">
      <w:hyperlink r:id="rId40" w:history="1">
        <w:r>
          <w:rPr>
            <w:rStyle w:val="Hyperlink"/>
          </w:rPr>
          <w:t>Good practice in prescribing and managing medicines and devices - professional standards - GMC (gmc-uk.org)</w:t>
        </w:r>
      </w:hyperlink>
    </w:p>
    <w:p w14:paraId="2D6B67D3" w14:textId="77777777" w:rsidR="00F40D75" w:rsidRPr="00F40D75" w:rsidRDefault="00F40D75" w:rsidP="001F64C6">
      <w:pPr>
        <w:pStyle w:val="Heading2"/>
      </w:pPr>
      <w:bookmarkStart w:id="73" w:name="_Toc229036825"/>
      <w:r w:rsidRPr="00F40D75">
        <w:t>Equality Impact Assessment</w:t>
      </w:r>
      <w:bookmarkEnd w:id="71"/>
      <w:bookmarkEnd w:id="72"/>
      <w:bookmarkEnd w:id="73"/>
    </w:p>
    <w:p w14:paraId="4ED6283A" w14:textId="77777777" w:rsidR="000B6941" w:rsidRPr="00F40D75" w:rsidRDefault="000B6941" w:rsidP="004E6E65">
      <w:pPr>
        <w:pStyle w:val="Style1"/>
        <w:ind w:left="1134"/>
      </w:pPr>
      <w:r>
        <w:t>T</w:t>
      </w:r>
      <w:r w:rsidRPr="00F40D75">
        <w:t xml:space="preserve">he EIA has identified no equality issues with this policy.  </w:t>
      </w:r>
    </w:p>
    <w:p w14:paraId="08D223C6" w14:textId="77777777" w:rsidR="000B6941" w:rsidRPr="00F40D75" w:rsidRDefault="000B6941" w:rsidP="004E6E65">
      <w:pPr>
        <w:pStyle w:val="Style1"/>
        <w:ind w:left="1134"/>
      </w:pPr>
      <w:r w:rsidRPr="00F40D75">
        <w:t xml:space="preserve">The EIA has been included as </w:t>
      </w:r>
      <w:r w:rsidRPr="00C63044">
        <w:rPr>
          <w:b/>
          <w:bCs/>
        </w:rPr>
        <w:t>Appendix A</w:t>
      </w:r>
      <w:r w:rsidRPr="00F40D75">
        <w:t>.</w:t>
      </w:r>
    </w:p>
    <w:p w14:paraId="72879ACD" w14:textId="77777777" w:rsidR="00F40D75" w:rsidRPr="00F40D75" w:rsidRDefault="00F40D75" w:rsidP="00F40D75">
      <w:pPr>
        <w:spacing w:before="0" w:after="0"/>
        <w:ind w:left="0"/>
        <w:rPr>
          <w:rFonts w:asciiTheme="majorHAnsi" w:eastAsiaTheme="majorEastAsia" w:hAnsiTheme="majorHAnsi" w:cstheme="majorBidi"/>
          <w:color w:val="001743" w:themeColor="accent1" w:themeShade="7F"/>
        </w:rPr>
      </w:pPr>
      <w:r w:rsidRPr="00F40D75">
        <w:br w:type="page"/>
      </w:r>
    </w:p>
    <w:p w14:paraId="574A940C" w14:textId="77777777" w:rsidR="00F40D75" w:rsidRPr="00F40D75" w:rsidRDefault="00F40D75" w:rsidP="00F40D75">
      <w:pPr>
        <w:keepNext/>
        <w:keepLines/>
        <w:spacing w:before="500" w:after="240"/>
        <w:ind w:left="0"/>
        <w:outlineLvl w:val="1"/>
        <w:rPr>
          <w:rFonts w:asciiTheme="majorHAnsi" w:eastAsiaTheme="majorEastAsia" w:hAnsiTheme="majorHAnsi" w:cstheme="majorBidi"/>
          <w:b/>
          <w:color w:val="005EB8" w:themeColor="accent2"/>
          <w:sz w:val="32"/>
          <w:szCs w:val="26"/>
        </w:rPr>
      </w:pPr>
      <w:bookmarkStart w:id="74" w:name="_Toc95149190"/>
      <w:r w:rsidRPr="00F40D75">
        <w:rPr>
          <w:rFonts w:asciiTheme="majorHAnsi" w:eastAsiaTheme="majorEastAsia" w:hAnsiTheme="majorHAnsi" w:cstheme="majorBidi"/>
          <w:b/>
          <w:color w:val="005EB8" w:themeColor="accent2"/>
          <w:sz w:val="32"/>
          <w:szCs w:val="26"/>
        </w:rPr>
        <w:lastRenderedPageBreak/>
        <w:t>Appendix A - Equality Impact Assessment</w:t>
      </w:r>
      <w:bookmarkEnd w:id="74"/>
    </w:p>
    <w:p w14:paraId="631E67A6" w14:textId="77777777" w:rsidR="00F40D75" w:rsidRPr="00F40D75" w:rsidRDefault="00F40D75" w:rsidP="00F40D75">
      <w:pPr>
        <w:keepNext/>
        <w:keepLines/>
        <w:spacing w:before="240"/>
        <w:ind w:left="0"/>
        <w:outlineLvl w:val="0"/>
        <w:rPr>
          <w:rFonts w:asciiTheme="majorHAnsi" w:eastAsia="Times New Roman" w:hAnsiTheme="majorHAnsi" w:cstheme="majorBidi"/>
          <w:b/>
        </w:rPr>
      </w:pPr>
      <w:r w:rsidRPr="00F40D75">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F40D75" w:rsidRPr="00F40D75" w14:paraId="4A2DF13E" w14:textId="77777777" w:rsidTr="00ED1089">
        <w:trPr>
          <w:trHeight w:val="608"/>
        </w:trPr>
        <w:tc>
          <w:tcPr>
            <w:tcW w:w="2966" w:type="pct"/>
          </w:tcPr>
          <w:p w14:paraId="207B3C99" w14:textId="382FB7D8" w:rsidR="00F40D75" w:rsidRPr="00F40D75" w:rsidRDefault="00F40D75" w:rsidP="00F40D75">
            <w:pPr>
              <w:spacing w:before="0" w:after="0"/>
              <w:ind w:left="0"/>
              <w:rPr>
                <w:rFonts w:ascii="Arial" w:eastAsia="Times New Roman" w:hAnsi="Arial" w:cs="Arial"/>
                <w:b/>
                <w:bCs/>
                <w:color w:val="auto"/>
              </w:rPr>
            </w:pPr>
            <w:r w:rsidRPr="00F40D75">
              <w:rPr>
                <w:rFonts w:ascii="Arial" w:eastAsia="Times New Roman" w:hAnsi="Arial" w:cs="Arial"/>
                <w:b/>
                <w:bCs/>
                <w:color w:val="auto"/>
              </w:rPr>
              <w:t>Name of policy</w:t>
            </w:r>
            <w:r w:rsidR="001F64C6">
              <w:rPr>
                <w:rFonts w:ascii="Arial" w:eastAsia="Times New Roman" w:hAnsi="Arial" w:cs="Arial"/>
                <w:b/>
                <w:bCs/>
                <w:color w:val="auto"/>
              </w:rPr>
              <w:t xml:space="preserve"> and version number:</w:t>
            </w:r>
          </w:p>
          <w:p w14:paraId="7A96D766" w14:textId="5A6F079A" w:rsidR="00F40D75" w:rsidRPr="00F40D75" w:rsidRDefault="005B5AE3" w:rsidP="00F40D75">
            <w:pPr>
              <w:spacing w:before="0" w:after="0"/>
              <w:ind w:left="0"/>
              <w:rPr>
                <w:rFonts w:ascii="Arial" w:eastAsia="Times New Roman" w:hAnsi="Arial" w:cs="Arial"/>
                <w:bCs/>
                <w:color w:val="auto"/>
              </w:rPr>
            </w:pPr>
            <w:r>
              <w:rPr>
                <w:rFonts w:ascii="Arial" w:eastAsia="Times New Roman" w:hAnsi="Arial" w:cs="Arial"/>
                <w:bCs/>
                <w:color w:val="auto"/>
              </w:rPr>
              <w:t xml:space="preserve">Patient Choice Policy </w:t>
            </w:r>
          </w:p>
        </w:tc>
        <w:tc>
          <w:tcPr>
            <w:tcW w:w="2034" w:type="pct"/>
          </w:tcPr>
          <w:p w14:paraId="07D251FA"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
                <w:bCs/>
                <w:color w:val="auto"/>
              </w:rPr>
              <w:t>Directorate/Service</w:t>
            </w:r>
            <w:r w:rsidRPr="00F40D75">
              <w:rPr>
                <w:rFonts w:ascii="Arial" w:eastAsia="Times New Roman" w:hAnsi="Arial" w:cs="Arial"/>
                <w:bCs/>
                <w:color w:val="auto"/>
              </w:rPr>
              <w:t xml:space="preserve">: </w:t>
            </w:r>
          </w:p>
          <w:p w14:paraId="2A9FA948" w14:textId="545DA953" w:rsidR="00F40D75" w:rsidRPr="00F40D75" w:rsidRDefault="00157C72" w:rsidP="00F40D75">
            <w:pPr>
              <w:spacing w:before="0" w:after="0"/>
              <w:ind w:left="0"/>
              <w:rPr>
                <w:rFonts w:ascii="Arial" w:eastAsia="Times New Roman" w:hAnsi="Arial" w:cs="Arial"/>
                <w:bCs/>
                <w:color w:val="auto"/>
              </w:rPr>
            </w:pPr>
            <w:r>
              <w:rPr>
                <w:rFonts w:ascii="Arial" w:eastAsia="Times New Roman" w:hAnsi="Arial" w:cs="Arial"/>
                <w:bCs/>
                <w:color w:val="auto"/>
              </w:rPr>
              <w:t>Strategy</w:t>
            </w:r>
          </w:p>
        </w:tc>
      </w:tr>
      <w:tr w:rsidR="00F40D75" w:rsidRPr="00F40D75" w14:paraId="0E46B3BE" w14:textId="77777777" w:rsidTr="001F64C6">
        <w:trPr>
          <w:trHeight w:val="697"/>
        </w:trPr>
        <w:tc>
          <w:tcPr>
            <w:tcW w:w="2966" w:type="pct"/>
          </w:tcPr>
          <w:p w14:paraId="5F8CB94E" w14:textId="77777777" w:rsidR="00F40D75" w:rsidRPr="00F40D75" w:rsidRDefault="00F40D75" w:rsidP="00F40D75">
            <w:pPr>
              <w:spacing w:before="0" w:after="0"/>
              <w:ind w:left="0"/>
              <w:rPr>
                <w:rFonts w:ascii="Arial" w:eastAsia="Times New Roman" w:hAnsi="Arial" w:cs="Arial"/>
                <w:b/>
                <w:bCs/>
                <w:color w:val="auto"/>
              </w:rPr>
            </w:pPr>
            <w:r w:rsidRPr="00F40D75">
              <w:rPr>
                <w:rFonts w:ascii="Arial" w:eastAsia="Times New Roman" w:hAnsi="Arial" w:cs="Arial"/>
                <w:b/>
                <w:bCs/>
                <w:color w:val="auto"/>
              </w:rPr>
              <w:t xml:space="preserve">Assessor’s Name and Job Title: </w:t>
            </w:r>
          </w:p>
          <w:p w14:paraId="34ADC0C0" w14:textId="61C65F2D" w:rsidR="00F40D75" w:rsidRPr="00F40D75" w:rsidRDefault="00157C72" w:rsidP="00F40D75">
            <w:pPr>
              <w:spacing w:before="0" w:after="0"/>
              <w:ind w:left="0"/>
              <w:rPr>
                <w:rFonts w:ascii="Arial" w:eastAsia="Times New Roman" w:hAnsi="Arial" w:cs="Arial"/>
                <w:bCs/>
                <w:color w:val="auto"/>
              </w:rPr>
            </w:pPr>
            <w:r>
              <w:rPr>
                <w:rFonts w:ascii="Arial" w:eastAsia="Times New Roman" w:hAnsi="Arial" w:cs="Arial"/>
                <w:bCs/>
                <w:color w:val="auto"/>
              </w:rPr>
              <w:t xml:space="preserve">Dannielle Robinson </w:t>
            </w:r>
            <w:r w:rsidR="00C83C80">
              <w:rPr>
                <w:rFonts w:ascii="Arial" w:eastAsia="Times New Roman" w:hAnsi="Arial" w:cs="Arial"/>
                <w:bCs/>
                <w:color w:val="auto"/>
              </w:rPr>
              <w:t>–</w:t>
            </w:r>
            <w:r>
              <w:rPr>
                <w:rFonts w:ascii="Arial" w:eastAsia="Times New Roman" w:hAnsi="Arial" w:cs="Arial"/>
                <w:bCs/>
                <w:color w:val="auto"/>
              </w:rPr>
              <w:t xml:space="preserve"> </w:t>
            </w:r>
            <w:r w:rsidR="00C83C80">
              <w:rPr>
                <w:rFonts w:ascii="Arial" w:eastAsia="Times New Roman" w:hAnsi="Arial" w:cs="Arial"/>
                <w:bCs/>
                <w:color w:val="auto"/>
              </w:rPr>
              <w:t xml:space="preserve">Planned Care Commissioning Manager </w:t>
            </w:r>
          </w:p>
        </w:tc>
        <w:tc>
          <w:tcPr>
            <w:tcW w:w="2034" w:type="pct"/>
          </w:tcPr>
          <w:p w14:paraId="08C8504F" w14:textId="568C63CA"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
                <w:bCs/>
                <w:color w:val="auto"/>
              </w:rPr>
              <w:t>Date:</w:t>
            </w:r>
            <w:r w:rsidRPr="00F40D75">
              <w:rPr>
                <w:rFonts w:ascii="Arial" w:eastAsia="Times New Roman" w:hAnsi="Arial" w:cs="Arial"/>
                <w:bCs/>
                <w:color w:val="auto"/>
              </w:rPr>
              <w:t xml:space="preserve"> </w:t>
            </w:r>
            <w:r w:rsidR="00C83C80">
              <w:rPr>
                <w:rFonts w:ascii="Arial" w:eastAsia="Times New Roman" w:hAnsi="Arial" w:cs="Arial"/>
                <w:bCs/>
                <w:color w:val="auto"/>
              </w:rPr>
              <w:t>04/02/2026</w:t>
            </w:r>
          </w:p>
          <w:p w14:paraId="07BD8FEA" w14:textId="77777777" w:rsidR="00F40D75" w:rsidRPr="00F40D75" w:rsidRDefault="00F40D75" w:rsidP="00F40D75">
            <w:pPr>
              <w:spacing w:before="0" w:after="0"/>
              <w:ind w:left="0"/>
              <w:rPr>
                <w:rFonts w:ascii="Arial" w:eastAsia="Times New Roman" w:hAnsi="Arial" w:cs="Arial"/>
                <w:bCs/>
                <w:color w:val="auto"/>
              </w:rPr>
            </w:pPr>
          </w:p>
        </w:tc>
      </w:tr>
    </w:tbl>
    <w:p w14:paraId="496A282F" w14:textId="77777777" w:rsidR="00F40D75" w:rsidRPr="00F40D75" w:rsidRDefault="00F40D75" w:rsidP="00F40D75">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33406E2" w14:textId="77777777" w:rsidTr="00DB1144">
        <w:tc>
          <w:tcPr>
            <w:tcW w:w="5000" w:type="pct"/>
            <w:vAlign w:val="center"/>
          </w:tcPr>
          <w:p w14:paraId="08947AB4" w14:textId="77777777" w:rsidR="00F40D75" w:rsidRPr="00F40D75" w:rsidRDefault="00F40D75" w:rsidP="00F40D75">
            <w:pPr>
              <w:spacing w:before="0" w:after="0"/>
              <w:ind w:left="0"/>
              <w:rPr>
                <w:rFonts w:ascii="Arial" w:eastAsia="Times New Roman" w:hAnsi="Arial" w:cs="Arial"/>
                <w:b/>
                <w:bCs/>
                <w:color w:val="000000"/>
              </w:rPr>
            </w:pPr>
            <w:r w:rsidRPr="00F40D75">
              <w:rPr>
                <w:rFonts w:ascii="Arial" w:eastAsia="Times New Roman" w:hAnsi="Arial" w:cs="Arial"/>
                <w:b/>
                <w:bCs/>
                <w:color w:val="000000"/>
              </w:rPr>
              <w:t>OUTCOMES</w:t>
            </w:r>
          </w:p>
        </w:tc>
      </w:tr>
      <w:tr w:rsidR="00F40D75" w:rsidRPr="00F40D75" w14:paraId="11E1D17C" w14:textId="77777777" w:rsidTr="00DB1144">
        <w:tc>
          <w:tcPr>
            <w:tcW w:w="5000" w:type="pct"/>
          </w:tcPr>
          <w:p w14:paraId="3DF8EE7C"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Briefly describe the aim of the policy and state the intended outcomes for staff </w:t>
            </w:r>
          </w:p>
        </w:tc>
      </w:tr>
      <w:tr w:rsidR="00F40D75" w:rsidRPr="00F40D75" w14:paraId="494CB86C" w14:textId="77777777" w:rsidTr="00ED1089">
        <w:trPr>
          <w:trHeight w:val="3703"/>
        </w:trPr>
        <w:tc>
          <w:tcPr>
            <w:tcW w:w="5000" w:type="pct"/>
          </w:tcPr>
          <w:p w14:paraId="4EE65DC0" w14:textId="77777777" w:rsidR="00FC1E5A" w:rsidRPr="00C52E95" w:rsidRDefault="00FC1E5A" w:rsidP="00FC1E5A">
            <w:pPr>
              <w:ind w:left="0"/>
            </w:pPr>
            <w:r w:rsidRPr="00C52E95">
              <w:t xml:space="preserve">This Policy is a guide to the choices that people have and can make about their personal healthcare and treatment. </w:t>
            </w:r>
          </w:p>
          <w:p w14:paraId="76A76943" w14:textId="77777777" w:rsidR="00FC1E5A" w:rsidRPr="00C52E95" w:rsidRDefault="00FC1E5A" w:rsidP="00FC1E5A">
            <w:pPr>
              <w:ind w:left="0"/>
            </w:pPr>
            <w:r w:rsidRPr="00C52E95">
              <w:t xml:space="preserve">Every individual has a right to make informed choices about their healthcare and be offered the opportunity to compare and make choice decisions based on their individual needs. </w:t>
            </w:r>
          </w:p>
          <w:p w14:paraId="0F7E195E" w14:textId="4631A9D2" w:rsidR="00FC1E5A" w:rsidRDefault="00FC1E5A" w:rsidP="00FC1E5A">
            <w:pPr>
              <w:ind w:left="0"/>
            </w:pPr>
            <w:r w:rsidRPr="00C52E95">
              <w:t xml:space="preserve">NHS Essex Integrated Care Board has an ambition to provide as much choice as possible for people when they need to access NHS support.   </w:t>
            </w:r>
          </w:p>
          <w:p w14:paraId="1F2E2BA2" w14:textId="3AB3A8FC" w:rsidR="00F40D75" w:rsidRPr="00F40D75" w:rsidRDefault="00FC1E5A" w:rsidP="0096776E">
            <w:pPr>
              <w:ind w:left="0"/>
              <w:rPr>
                <w:rFonts w:ascii="Arial" w:eastAsia="Times New Roman" w:hAnsi="Arial" w:cs="Arial"/>
                <w:b/>
                <w:bCs/>
                <w:color w:val="000000"/>
              </w:rPr>
            </w:pPr>
            <w:r>
              <w:t xml:space="preserve">The Policy aims to provide clarity and understanding for people exercising their right to choose and for staff to promote and ensure patients are provided choice as per the NHS Constitution.  This Policy also aims to provide clear guidance as to how this is implemented within healthcare bodies. </w:t>
            </w:r>
          </w:p>
        </w:tc>
      </w:tr>
      <w:tr w:rsidR="00F40D75" w:rsidRPr="00F40D75" w14:paraId="3DFD9C74" w14:textId="77777777" w:rsidTr="00DB1144">
        <w:tc>
          <w:tcPr>
            <w:tcW w:w="5000" w:type="pct"/>
            <w:vAlign w:val="center"/>
          </w:tcPr>
          <w:p w14:paraId="1F4BE785" w14:textId="77777777" w:rsidR="00F40D75" w:rsidRPr="00F40D75" w:rsidRDefault="00F40D75" w:rsidP="00F40D75">
            <w:pPr>
              <w:spacing w:before="0" w:after="0"/>
              <w:ind w:left="0"/>
              <w:rPr>
                <w:rFonts w:ascii="Arial" w:eastAsia="Times New Roman" w:hAnsi="Arial" w:cs="Arial"/>
                <w:b/>
                <w:color w:val="auto"/>
              </w:rPr>
            </w:pPr>
            <w:r w:rsidRPr="00F40D75">
              <w:rPr>
                <w:rFonts w:ascii="Arial" w:eastAsia="Times New Roman" w:hAnsi="Arial" w:cs="Arial"/>
                <w:b/>
                <w:color w:val="auto"/>
              </w:rPr>
              <w:t>EVIDENCE</w:t>
            </w:r>
          </w:p>
        </w:tc>
      </w:tr>
      <w:tr w:rsidR="00F40D75" w:rsidRPr="00F40D75" w14:paraId="3CCB6A69" w14:textId="77777777" w:rsidTr="00DB1144">
        <w:tc>
          <w:tcPr>
            <w:tcW w:w="5000" w:type="pct"/>
          </w:tcPr>
          <w:p w14:paraId="4567DE64" w14:textId="77777777" w:rsidR="00F40D75" w:rsidRPr="00F40D75" w:rsidRDefault="00F40D75" w:rsidP="00F40D75">
            <w:pPr>
              <w:spacing w:before="0" w:after="0"/>
              <w:ind w:left="0"/>
              <w:rPr>
                <w:rFonts w:ascii="Arial" w:eastAsia="Times New Roman" w:hAnsi="Arial" w:cs="Arial"/>
                <w:b/>
                <w:i/>
                <w:iCs/>
                <w:color w:val="auto"/>
              </w:rPr>
            </w:pPr>
            <w:r w:rsidRPr="00F40D75">
              <w:rPr>
                <w:rFonts w:ascii="Arial" w:eastAsia="Times New Roman" w:hAnsi="Arial" w:cs="Arial"/>
                <w:bCs/>
                <w:i/>
                <w:iCs/>
                <w:color w:val="auto"/>
              </w:rPr>
              <w:t>What data / information have you used to assess how this policy might impact on protected groups?</w:t>
            </w:r>
          </w:p>
        </w:tc>
      </w:tr>
      <w:tr w:rsidR="00F40D75" w:rsidRPr="00F40D75" w14:paraId="3029C18D" w14:textId="77777777" w:rsidTr="001C349E">
        <w:trPr>
          <w:trHeight w:val="641"/>
        </w:trPr>
        <w:tc>
          <w:tcPr>
            <w:tcW w:w="5000" w:type="pct"/>
          </w:tcPr>
          <w:p w14:paraId="62BE0DF1" w14:textId="24454E77" w:rsidR="00F40D75" w:rsidRPr="00F40D75" w:rsidRDefault="007F3827" w:rsidP="00F40D75">
            <w:pPr>
              <w:spacing w:before="0" w:after="0"/>
              <w:ind w:left="0"/>
              <w:rPr>
                <w:rFonts w:ascii="Arial" w:eastAsia="Times New Roman" w:hAnsi="Arial" w:cs="Arial"/>
                <w:b/>
                <w:color w:val="auto"/>
              </w:rPr>
            </w:pPr>
            <w:r w:rsidRPr="00845AD4">
              <w:rPr>
                <w:rFonts w:ascii="Arial" w:eastAsia="Times New Roman" w:hAnsi="Arial" w:cs="Arial"/>
                <w:bCs/>
                <w:color w:val="auto"/>
              </w:rPr>
              <w:t xml:space="preserve">Information and data from NHS England, Reforming Elective Care Guidance, liaison with Primary Care and Health Inequalities teams.  </w:t>
            </w:r>
          </w:p>
        </w:tc>
      </w:tr>
      <w:tr w:rsidR="00F40D75" w:rsidRPr="00F40D75" w14:paraId="2162985A" w14:textId="77777777" w:rsidTr="00DB1144">
        <w:tc>
          <w:tcPr>
            <w:tcW w:w="5000" w:type="pct"/>
          </w:tcPr>
          <w:p w14:paraId="4CF30062" w14:textId="77777777" w:rsidR="00F40D75" w:rsidRPr="00F40D75" w:rsidRDefault="00F40D75" w:rsidP="00F40D75">
            <w:pPr>
              <w:spacing w:before="0" w:after="0"/>
              <w:ind w:left="0"/>
              <w:rPr>
                <w:rFonts w:ascii="Arial" w:eastAsia="MS Mincho" w:hAnsi="Arial" w:cs="Arial"/>
                <w:bCs/>
                <w:i/>
                <w:iCs/>
                <w:color w:val="000000"/>
              </w:rPr>
            </w:pPr>
            <w:r w:rsidRPr="00F40D75">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F40D75" w:rsidRPr="00F40D75" w14:paraId="44B633D7" w14:textId="77777777" w:rsidTr="00DB1144">
        <w:trPr>
          <w:trHeight w:val="926"/>
        </w:trPr>
        <w:tc>
          <w:tcPr>
            <w:tcW w:w="5000" w:type="pct"/>
          </w:tcPr>
          <w:p w14:paraId="5E7B8BFC" w14:textId="372B8C04" w:rsidR="00F40D75" w:rsidRPr="00F40D75" w:rsidRDefault="00B32933" w:rsidP="00F40D75">
            <w:pPr>
              <w:spacing w:before="0" w:after="0"/>
              <w:ind w:left="0"/>
              <w:rPr>
                <w:rFonts w:ascii="Arial" w:eastAsia="Times New Roman" w:hAnsi="Arial" w:cs="Arial"/>
                <w:color w:val="auto"/>
              </w:rPr>
            </w:pPr>
            <w:r>
              <w:rPr>
                <w:rFonts w:ascii="Arial" w:eastAsia="Times New Roman" w:hAnsi="Arial" w:cs="Arial"/>
                <w:color w:val="auto"/>
              </w:rPr>
              <w:t xml:space="preserve">Consultation beyond NHS England and appropriate teams within the ICB have not taken place because this policy and supporting patient choice implementation is a nationally driven piece of work and has significant standing within the Reforming Elective Care papers.  The information sought and received spans all groups within the UK.   </w:t>
            </w:r>
          </w:p>
        </w:tc>
      </w:tr>
    </w:tbl>
    <w:p w14:paraId="1CEF8B29" w14:textId="77777777" w:rsidR="00F40D75" w:rsidRPr="00F40D75" w:rsidRDefault="00F40D75" w:rsidP="00F40D75">
      <w:pPr>
        <w:keepNext/>
        <w:keepLines/>
        <w:spacing w:before="240"/>
        <w:ind w:left="0"/>
        <w:outlineLvl w:val="0"/>
        <w:rPr>
          <w:rFonts w:asciiTheme="majorHAnsi" w:eastAsia="Times New Roman" w:hAnsiTheme="majorHAnsi" w:cstheme="majorBidi"/>
          <w:b/>
          <w:color w:val="auto"/>
        </w:rPr>
      </w:pPr>
      <w:r w:rsidRPr="00F40D75">
        <w:rPr>
          <w:rFonts w:asciiTheme="majorHAnsi" w:eastAsia="MS Mincho" w:hAnsiTheme="majorHAnsi" w:cstheme="majorBidi"/>
          <w:b/>
        </w:rPr>
        <w:t xml:space="preserve">ANALYSIS OF IMPACT ON EQUALITY </w:t>
      </w:r>
    </w:p>
    <w:p w14:paraId="05D03101" w14:textId="778DB939"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 xml:space="preserve">The Public Sector Equality Duty requires us to </w:t>
      </w:r>
      <w:r w:rsidRPr="00F40D75">
        <w:rPr>
          <w:rFonts w:ascii="Arial" w:eastAsia="Times New Roman" w:hAnsi="Arial" w:cs="Arial"/>
          <w:b/>
          <w:color w:val="auto"/>
        </w:rPr>
        <w:t>eliminate</w:t>
      </w:r>
      <w:r w:rsidRPr="00F40D75">
        <w:rPr>
          <w:rFonts w:ascii="Arial" w:eastAsia="Times New Roman" w:hAnsi="Arial" w:cs="Arial"/>
          <w:color w:val="auto"/>
        </w:rPr>
        <w:t xml:space="preserve"> discrimination, </w:t>
      </w:r>
      <w:r w:rsidRPr="00F40D75">
        <w:rPr>
          <w:rFonts w:ascii="Arial" w:eastAsia="Times New Roman" w:hAnsi="Arial" w:cs="Arial"/>
          <w:b/>
          <w:color w:val="auto"/>
        </w:rPr>
        <w:t>advance</w:t>
      </w:r>
      <w:r w:rsidRPr="00F40D75">
        <w:rPr>
          <w:rFonts w:ascii="Arial" w:eastAsia="Times New Roman" w:hAnsi="Arial" w:cs="Arial"/>
          <w:color w:val="auto"/>
        </w:rPr>
        <w:t xml:space="preserve"> equality of opportunity and </w:t>
      </w:r>
      <w:r w:rsidRPr="00F40D75">
        <w:rPr>
          <w:rFonts w:ascii="Arial" w:eastAsia="Times New Roman" w:hAnsi="Arial" w:cs="Arial"/>
          <w:b/>
          <w:color w:val="auto"/>
        </w:rPr>
        <w:t>foster</w:t>
      </w:r>
      <w:r w:rsidRPr="00F40D75">
        <w:rPr>
          <w:rFonts w:ascii="Arial" w:eastAsia="Times New Roman" w:hAnsi="Arial" w:cs="Arial"/>
          <w:color w:val="auto"/>
        </w:rPr>
        <w:t xml:space="preserve"> good relations with protected groups.   Consider how this policy / service will achieve these aims.</w:t>
      </w:r>
    </w:p>
    <w:p w14:paraId="2A1EBE60" w14:textId="3545B166"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N.B. In some cases it is legal to treat people differently (objective justification).</w:t>
      </w:r>
    </w:p>
    <w:p w14:paraId="787A2E41" w14:textId="77777777" w:rsidR="00F40D75" w:rsidRPr="00F40D75" w:rsidRDefault="00F40D75" w:rsidP="001F64C6">
      <w:pPr>
        <w:numPr>
          <w:ilvl w:val="0"/>
          <w:numId w:val="13"/>
        </w:numPr>
        <w:spacing w:before="0" w:after="0"/>
        <w:ind w:left="709" w:hanging="709"/>
        <w:rPr>
          <w:rFonts w:ascii="Arial" w:eastAsia="Times New Roman" w:hAnsi="Arial" w:cs="Arial"/>
          <w:i/>
          <w:color w:val="auto"/>
        </w:rPr>
      </w:pPr>
      <w:r w:rsidRPr="00F40D75">
        <w:rPr>
          <w:rFonts w:ascii="Arial" w:eastAsia="Times New Roman" w:hAnsi="Arial" w:cs="Arial"/>
          <w:b/>
          <w:bCs/>
          <w:i/>
          <w:color w:val="auto"/>
        </w:rPr>
        <w:lastRenderedPageBreak/>
        <w:t>Positive outcome</w:t>
      </w:r>
      <w:r w:rsidRPr="00F40D75">
        <w:rPr>
          <w:rFonts w:ascii="Arial" w:eastAsia="Times New Roman" w:hAnsi="Arial" w:cs="Arial"/>
          <w:i/>
          <w:color w:val="auto"/>
        </w:rPr>
        <w:t xml:space="preserve"> – the policy/service eliminates discrimination, advances equality of opportunity and fosters good relations with protected groups</w:t>
      </w:r>
    </w:p>
    <w:p w14:paraId="024D7B76"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Negative outcome </w:t>
      </w:r>
      <w:r w:rsidRPr="00F40D75">
        <w:rPr>
          <w:rFonts w:ascii="Arial" w:eastAsia="Times New Roman" w:hAnsi="Arial" w:cs="Arial"/>
          <w:bCs/>
          <w:i/>
          <w:color w:val="auto"/>
        </w:rPr>
        <w:t>–</w:t>
      </w:r>
      <w:r w:rsidRPr="00F40D75">
        <w:rPr>
          <w:rFonts w:ascii="Arial" w:eastAsia="Times New Roman" w:hAnsi="Arial" w:cs="Arial"/>
          <w:b/>
          <w:bCs/>
          <w:i/>
          <w:color w:val="auto"/>
        </w:rPr>
        <w:t xml:space="preserve"> </w:t>
      </w:r>
      <w:r w:rsidRPr="00F40D75">
        <w:rPr>
          <w:rFonts w:ascii="Arial" w:eastAsia="Times New Roman" w:hAnsi="Arial" w:cs="Arial"/>
          <w:bCs/>
          <w:i/>
          <w:color w:val="auto"/>
        </w:rPr>
        <w:t>protected group(s) could be disadvantaged or discriminated against</w:t>
      </w:r>
    </w:p>
    <w:p w14:paraId="71861D7B"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Neutral outcome </w:t>
      </w:r>
      <w:r w:rsidRPr="00F40D75">
        <w:rPr>
          <w:rFonts w:ascii="Arial" w:eastAsia="Times New Roman" w:hAnsi="Arial" w:cs="Arial"/>
          <w:bCs/>
          <w:i/>
          <w:color w:val="auto"/>
        </w:rPr>
        <w:t xml:space="preserve"> –</w:t>
      </w:r>
      <w:r w:rsidRPr="00F40D75">
        <w:rPr>
          <w:rFonts w:ascii="Arial" w:eastAsia="Times New Roman" w:hAnsi="Arial" w:cs="Arial"/>
          <w:b/>
          <w:bCs/>
          <w:i/>
          <w:color w:val="auto"/>
        </w:rPr>
        <w:t xml:space="preserve"> </w:t>
      </w:r>
      <w:r w:rsidRPr="00F40D75">
        <w:rPr>
          <w:rFonts w:ascii="Arial" w:eastAsia="Times New Roman" w:hAnsi="Arial" w:cs="Arial"/>
          <w:bCs/>
          <w:i/>
          <w:color w:val="auto"/>
        </w:rPr>
        <w:t>there is no effect currently on protected groups</w:t>
      </w:r>
    </w:p>
    <w:p w14:paraId="4125D9B1" w14:textId="77777777" w:rsidR="00F40D75" w:rsidRPr="00F40D75" w:rsidRDefault="00F40D75" w:rsidP="00F40D75">
      <w:pPr>
        <w:ind w:left="0"/>
      </w:pPr>
      <w:r w:rsidRPr="00F40D75">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F40D75" w:rsidRPr="00F40D75" w14:paraId="01E754E6" w14:textId="77777777" w:rsidTr="009B21D7">
        <w:trPr>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641D3C5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Protected</w:t>
            </w:r>
          </w:p>
          <w:p w14:paraId="50A06B56"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5428FA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Positive</w:t>
            </w:r>
          </w:p>
          <w:p w14:paraId="558D78C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F5EF083"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Negative</w:t>
            </w:r>
          </w:p>
          <w:p w14:paraId="683DAE59"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1568797"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Neutral</w:t>
            </w:r>
          </w:p>
          <w:p w14:paraId="0F9C7DFB"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199BCA9" w14:textId="77777777" w:rsidR="00F40D75" w:rsidRPr="00F40D75" w:rsidRDefault="00F40D75" w:rsidP="00F40D75">
            <w:pPr>
              <w:keepNext/>
              <w:spacing w:before="0" w:after="0"/>
              <w:ind w:left="0"/>
              <w:outlineLvl w:val="2"/>
              <w:rPr>
                <w:rFonts w:ascii="Arial" w:eastAsia="Times New Roman" w:hAnsi="Arial" w:cs="Arial"/>
                <w:color w:val="FFFFFF" w:themeColor="background1"/>
              </w:rPr>
            </w:pPr>
            <w:r w:rsidRPr="00F40D75">
              <w:rPr>
                <w:rFonts w:ascii="Arial" w:eastAsia="Times New Roman" w:hAnsi="Arial" w:cs="Arial"/>
                <w:color w:val="FFFFFF" w:themeColor="background1"/>
              </w:rPr>
              <w:t>Reason(s) for outcome</w:t>
            </w:r>
          </w:p>
        </w:tc>
      </w:tr>
      <w:tr w:rsidR="00F40D75" w:rsidRPr="00F40D75" w14:paraId="47DABE08"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2B0A33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D717782" w14:textId="0D9AE920" w:rsidR="00F40D75" w:rsidRPr="00F40D75" w:rsidRDefault="00495B79"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3502AC9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2A36CAD"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128D0A8F" w14:textId="24F51882" w:rsidR="00F40D75" w:rsidRPr="00F40D75" w:rsidRDefault="00495B79"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patients to make informed choices as to their provider and ensure they are accessible to all ages.  </w:t>
            </w:r>
          </w:p>
        </w:tc>
      </w:tr>
      <w:tr w:rsidR="00F40D75" w:rsidRPr="00F40D75" w14:paraId="504835E2"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DB90795"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Disability</w:t>
            </w:r>
          </w:p>
          <w:p w14:paraId="2E64AE54"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6780A621" w14:textId="20412C9D" w:rsidR="00F40D75" w:rsidRPr="00F40D75" w:rsidRDefault="00495B79"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4D72231E"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EBA1BA7"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34C3A2C5" w14:textId="69BA0592" w:rsidR="00F40D75" w:rsidRPr="00F40D75" w:rsidRDefault="00EF6B1D"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52567C8C"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7D480287"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4E95F6AB" w14:textId="60289D92" w:rsidR="00F40D75" w:rsidRPr="00F40D75" w:rsidRDefault="003D3E26"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6A24E14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3E23A01"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38D80577" w14:textId="2074A3C8" w:rsidR="00F40D75" w:rsidRPr="00F40D75" w:rsidRDefault="003D3E26"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4896AEF5" w14:textId="77777777" w:rsidTr="00DB1144">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AF4EA4A"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00CCF426" w14:textId="3766D629" w:rsidR="00F40D75" w:rsidRPr="00F40D75" w:rsidRDefault="00D70075"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51BF126C"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A32910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70F38087" w14:textId="35BBFF28" w:rsidR="00F40D75" w:rsidRPr="00F40D75" w:rsidRDefault="00D70075"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lastRenderedPageBreak/>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6D9FF356" w14:textId="77777777" w:rsidTr="00DB1144">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57C2C6D8"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lastRenderedPageBreak/>
              <w:t xml:space="preserve">Sexual </w:t>
            </w:r>
          </w:p>
          <w:p w14:paraId="66531E23"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DB82478" w14:textId="7B513768" w:rsidR="00F40D75" w:rsidRPr="00F40D75" w:rsidRDefault="00BB00A5"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3C5BDDD2"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B598D0B"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584AAFA" w14:textId="083870A9" w:rsidR="00F40D75" w:rsidRPr="00F40D75" w:rsidRDefault="00BB00A5"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558C4A0E"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C472520"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40681245" w14:textId="59D0FB71" w:rsidR="00F40D75" w:rsidRPr="00F40D75" w:rsidRDefault="00BB00A5"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7391AC2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685E16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492618A5" w14:textId="7846AFAD" w:rsidR="00F40D75" w:rsidRPr="00F40D75" w:rsidRDefault="00BB00A5"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7294A7CE" w14:textId="77777777" w:rsidTr="00DB1144">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0201EC4F"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1ED3316C" w14:textId="7CA8CED6" w:rsidR="00F40D75" w:rsidRPr="00F40D75" w:rsidRDefault="00BB00A5"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271BC1D9"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EE8627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6417729C" w14:textId="4ACE6719" w:rsidR="00F40D75" w:rsidRPr="00F40D75" w:rsidRDefault="00BB00A5"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32E34A13"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4BF6819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lastRenderedPageBreak/>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4AD5A211" w14:textId="1EF5E71C" w:rsidR="00F40D75" w:rsidRPr="00F40D75" w:rsidRDefault="00BB00A5"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auto"/>
              <w:right w:val="single" w:sz="4" w:space="0" w:color="auto"/>
            </w:tcBorders>
            <w:vAlign w:val="center"/>
          </w:tcPr>
          <w:p w14:paraId="00B752D3"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3F12AAB"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5FE9693" w14:textId="6B560F9C" w:rsidR="00F40D75" w:rsidRPr="00F40D75" w:rsidRDefault="00BB00A5"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r w:rsidR="00F40D75" w:rsidRPr="00F40D75" w14:paraId="33E2B1A4" w14:textId="77777777" w:rsidTr="00DB1144">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49D93BB"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Marriage or Civil  Partnership</w:t>
            </w:r>
          </w:p>
        </w:tc>
        <w:tc>
          <w:tcPr>
            <w:tcW w:w="684" w:type="pct"/>
            <w:tcBorders>
              <w:top w:val="single" w:sz="4" w:space="0" w:color="auto"/>
              <w:left w:val="single" w:sz="4" w:space="0" w:color="auto"/>
              <w:bottom w:val="single" w:sz="4" w:space="0" w:color="000000"/>
              <w:right w:val="single" w:sz="4" w:space="0" w:color="auto"/>
            </w:tcBorders>
            <w:vAlign w:val="center"/>
          </w:tcPr>
          <w:p w14:paraId="3C394071" w14:textId="55B19307" w:rsidR="00F40D75" w:rsidRPr="00F40D75" w:rsidRDefault="00262D7A" w:rsidP="00F40D75">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684" w:type="pct"/>
            <w:tcBorders>
              <w:top w:val="single" w:sz="4" w:space="0" w:color="auto"/>
              <w:left w:val="single" w:sz="4" w:space="0" w:color="auto"/>
              <w:bottom w:val="single" w:sz="4" w:space="0" w:color="000000"/>
              <w:right w:val="single" w:sz="4" w:space="0" w:color="auto"/>
            </w:tcBorders>
            <w:vAlign w:val="center"/>
          </w:tcPr>
          <w:p w14:paraId="7B6A069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2D8AC883" w14:textId="5AAB5A7D"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000000"/>
              <w:right w:val="single" w:sz="4" w:space="0" w:color="auto"/>
            </w:tcBorders>
            <w:vAlign w:val="center"/>
          </w:tcPr>
          <w:p w14:paraId="403B095B" w14:textId="5FA1B23B" w:rsidR="00F40D75" w:rsidRPr="00F40D75" w:rsidRDefault="00262D7A"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 xml:space="preserve">This policy will ensure all patients with elective referrals in Essex have appropriate choice of provider and they </w:t>
            </w:r>
            <w:proofErr w:type="gramStart"/>
            <w:r>
              <w:rPr>
                <w:rFonts w:ascii="Arial" w:eastAsia="Times New Roman" w:hAnsi="Arial" w:cs="Arial"/>
                <w:color w:val="auto"/>
                <w:sz w:val="22"/>
                <w:szCs w:val="22"/>
              </w:rPr>
              <w:t>have the opportunity to</w:t>
            </w:r>
            <w:proofErr w:type="gramEnd"/>
            <w:r>
              <w:rPr>
                <w:rFonts w:ascii="Arial" w:eastAsia="Times New Roman" w:hAnsi="Arial" w:cs="Arial"/>
                <w:color w:val="auto"/>
                <w:sz w:val="22"/>
                <w:szCs w:val="22"/>
              </w:rPr>
              <w:t xml:space="preserve"> review the provider prior to making this choice.  This will allow for choice of location (closer to home) or a more accessible location.  The patient will also have more information on the facilities and support available at each location.  </w:t>
            </w:r>
          </w:p>
        </w:tc>
      </w:tr>
    </w:tbl>
    <w:p w14:paraId="1AC5A24B"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DF8B917" w14:textId="77777777" w:rsidTr="00DB1144">
        <w:trPr>
          <w:trHeight w:val="269"/>
        </w:trPr>
        <w:tc>
          <w:tcPr>
            <w:tcW w:w="5000" w:type="pct"/>
            <w:tcBorders>
              <w:top w:val="single" w:sz="4" w:space="0" w:color="auto"/>
              <w:left w:val="single" w:sz="4" w:space="0" w:color="auto"/>
              <w:right w:val="single" w:sz="4" w:space="0" w:color="auto"/>
            </w:tcBorders>
          </w:tcPr>
          <w:p w14:paraId="2AEFD630" w14:textId="77777777" w:rsidR="00F40D75" w:rsidRPr="00F40D75" w:rsidRDefault="00F40D75" w:rsidP="00F40D75">
            <w:pPr>
              <w:spacing w:before="0" w:after="0"/>
              <w:ind w:left="0"/>
              <w:rPr>
                <w:rFonts w:asciiTheme="majorHAnsi" w:eastAsia="Times New Roman" w:hAnsiTheme="majorHAnsi" w:cstheme="majorBidi"/>
                <w:b/>
                <w:bCs/>
              </w:rPr>
            </w:pPr>
            <w:r w:rsidRPr="00F40D75">
              <w:rPr>
                <w:b/>
                <w:bCs/>
              </w:rPr>
              <w:t>MONITORING OUTCOMES</w:t>
            </w:r>
          </w:p>
        </w:tc>
      </w:tr>
      <w:tr w:rsidR="00F40D75" w:rsidRPr="00F40D75" w14:paraId="3E53A83D" w14:textId="77777777" w:rsidTr="00DB1144">
        <w:trPr>
          <w:trHeight w:val="416"/>
        </w:trPr>
        <w:tc>
          <w:tcPr>
            <w:tcW w:w="5000" w:type="pct"/>
            <w:tcBorders>
              <w:top w:val="single" w:sz="4" w:space="0" w:color="auto"/>
              <w:left w:val="single" w:sz="4" w:space="0" w:color="auto"/>
              <w:right w:val="single" w:sz="4" w:space="0" w:color="auto"/>
            </w:tcBorders>
          </w:tcPr>
          <w:p w14:paraId="59E19666"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Monitoring is an ongoing process to check outcomes.  It is different from a formal review which takes place at pre-agreed intervals.</w:t>
            </w:r>
          </w:p>
        </w:tc>
      </w:tr>
      <w:tr w:rsidR="00F40D75" w:rsidRPr="00F40D75" w14:paraId="3E167AF6" w14:textId="77777777" w:rsidTr="00797DF8">
        <w:trPr>
          <w:trHeight w:val="270"/>
        </w:trPr>
        <w:tc>
          <w:tcPr>
            <w:tcW w:w="5000" w:type="pct"/>
            <w:tcBorders>
              <w:top w:val="single" w:sz="4" w:space="0" w:color="auto"/>
              <w:left w:val="single" w:sz="4" w:space="0" w:color="auto"/>
              <w:right w:val="single" w:sz="4" w:space="0" w:color="auto"/>
            </w:tcBorders>
          </w:tcPr>
          <w:p w14:paraId="2A69F631"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What methods will you use to monitor outcomes on protected groups?</w:t>
            </w:r>
          </w:p>
        </w:tc>
      </w:tr>
      <w:tr w:rsidR="00F40D75" w:rsidRPr="00F40D75" w14:paraId="32BBB1EA" w14:textId="77777777" w:rsidTr="00DB1144">
        <w:trPr>
          <w:trHeight w:val="983"/>
        </w:trPr>
        <w:tc>
          <w:tcPr>
            <w:tcW w:w="5000" w:type="pct"/>
            <w:tcBorders>
              <w:top w:val="single" w:sz="4" w:space="0" w:color="auto"/>
              <w:left w:val="single" w:sz="4" w:space="0" w:color="auto"/>
              <w:right w:val="single" w:sz="4" w:space="0" w:color="auto"/>
            </w:tcBorders>
          </w:tcPr>
          <w:p w14:paraId="2A61CE00" w14:textId="77777777" w:rsidR="00F40D75" w:rsidRDefault="00B14333" w:rsidP="00F40D75">
            <w:pPr>
              <w:spacing w:before="0" w:after="0"/>
              <w:ind w:left="0"/>
              <w:rPr>
                <w:rFonts w:ascii="Arial" w:eastAsia="Times New Roman" w:hAnsi="Arial" w:cs="Arial"/>
                <w:bCs/>
                <w:color w:val="auto"/>
              </w:rPr>
            </w:pPr>
            <w:r>
              <w:rPr>
                <w:rFonts w:ascii="Arial" w:eastAsia="Times New Roman" w:hAnsi="Arial" w:cs="Arial"/>
                <w:bCs/>
                <w:color w:val="auto"/>
              </w:rPr>
              <w:t>Working closely with health inequalities teams and primary care to review and ascertain the level of choice available for vulnerable groups and how they can access this information.</w:t>
            </w:r>
          </w:p>
          <w:p w14:paraId="352BA94E" w14:textId="77777777" w:rsidR="00EF74B3" w:rsidRDefault="00EF74B3" w:rsidP="00F40D75">
            <w:pPr>
              <w:spacing w:before="0" w:after="0"/>
              <w:ind w:left="0"/>
              <w:rPr>
                <w:rFonts w:ascii="Arial" w:eastAsia="Times New Roman" w:hAnsi="Arial" w:cs="Arial"/>
                <w:bCs/>
                <w:color w:val="auto"/>
              </w:rPr>
            </w:pPr>
            <w:r>
              <w:rPr>
                <w:rFonts w:ascii="Arial" w:eastAsia="Times New Roman" w:hAnsi="Arial" w:cs="Arial"/>
                <w:bCs/>
                <w:color w:val="auto"/>
              </w:rPr>
              <w:t>Essex ICB is committed to ensuring information regarding Patient Choice is a</w:t>
            </w:r>
            <w:r w:rsidRPr="00EF74B3">
              <w:rPr>
                <w:rFonts w:ascii="Arial" w:eastAsia="Times New Roman" w:hAnsi="Arial" w:cs="Arial"/>
                <w:bCs/>
                <w:color w:val="auto"/>
              </w:rPr>
              <w:t xml:space="preserve">vailable in accessible </w:t>
            </w:r>
            <w:proofErr w:type="gramStart"/>
            <w:r w:rsidRPr="00EF74B3">
              <w:rPr>
                <w:rFonts w:ascii="Arial" w:eastAsia="Times New Roman" w:hAnsi="Arial" w:cs="Arial"/>
                <w:bCs/>
                <w:color w:val="auto"/>
              </w:rPr>
              <w:t>formats, and</w:t>
            </w:r>
            <w:proofErr w:type="gramEnd"/>
            <w:r>
              <w:rPr>
                <w:rFonts w:ascii="Arial" w:eastAsia="Times New Roman" w:hAnsi="Arial" w:cs="Arial"/>
                <w:bCs/>
                <w:color w:val="auto"/>
              </w:rPr>
              <w:t xml:space="preserve"> will</w:t>
            </w:r>
            <w:r w:rsidRPr="00EF74B3">
              <w:rPr>
                <w:rFonts w:ascii="Arial" w:eastAsia="Times New Roman" w:hAnsi="Arial" w:cs="Arial"/>
                <w:bCs/>
                <w:color w:val="auto"/>
              </w:rPr>
              <w:t xml:space="preserve"> supporting referrers to engage in shared decision-making.  </w:t>
            </w:r>
          </w:p>
          <w:p w14:paraId="39093ED1" w14:textId="09CA9155" w:rsidR="00EF74B3" w:rsidRPr="00F40D75" w:rsidRDefault="00EF74B3" w:rsidP="00F40D75">
            <w:pPr>
              <w:spacing w:before="0" w:after="0"/>
              <w:ind w:left="0"/>
              <w:rPr>
                <w:rFonts w:ascii="Arial" w:eastAsia="Times New Roman" w:hAnsi="Arial" w:cs="Arial"/>
                <w:bCs/>
                <w:color w:val="auto"/>
              </w:rPr>
            </w:pPr>
            <w:r>
              <w:rPr>
                <w:rFonts w:ascii="Arial" w:eastAsia="Times New Roman" w:hAnsi="Arial" w:cs="Arial"/>
                <w:bCs/>
                <w:color w:val="auto"/>
              </w:rPr>
              <w:t>Essex ICB is committed to collaboration with</w:t>
            </w:r>
            <w:r w:rsidRPr="00EF74B3">
              <w:rPr>
                <w:rFonts w:ascii="Arial" w:eastAsia="Times New Roman" w:hAnsi="Arial" w:cs="Arial"/>
                <w:bCs/>
                <w:color w:val="auto"/>
              </w:rPr>
              <w:t xml:space="preserve"> local </w:t>
            </w:r>
            <w:r>
              <w:rPr>
                <w:rFonts w:ascii="Arial" w:eastAsia="Times New Roman" w:hAnsi="Arial" w:cs="Arial"/>
                <w:bCs/>
                <w:color w:val="auto"/>
              </w:rPr>
              <w:t xml:space="preserve">community </w:t>
            </w:r>
            <w:r w:rsidRPr="00EF74B3">
              <w:rPr>
                <w:rFonts w:ascii="Arial" w:eastAsia="Times New Roman" w:hAnsi="Arial" w:cs="Arial"/>
                <w:bCs/>
                <w:color w:val="auto"/>
              </w:rPr>
              <w:t xml:space="preserve">groups who engage with residents with these characteristics </w:t>
            </w:r>
            <w:r>
              <w:rPr>
                <w:rFonts w:ascii="Arial" w:eastAsia="Times New Roman" w:hAnsi="Arial" w:cs="Arial"/>
                <w:bCs/>
                <w:color w:val="auto"/>
              </w:rPr>
              <w:t>to strengthen</w:t>
            </w:r>
            <w:r w:rsidRPr="00EF74B3">
              <w:rPr>
                <w:rFonts w:ascii="Arial" w:eastAsia="Times New Roman" w:hAnsi="Arial" w:cs="Arial"/>
                <w:bCs/>
                <w:color w:val="auto"/>
              </w:rPr>
              <w:t xml:space="preserve"> the monitoring process</w:t>
            </w:r>
            <w:r>
              <w:rPr>
                <w:rFonts w:ascii="Arial" w:eastAsia="Times New Roman" w:hAnsi="Arial" w:cs="Arial"/>
                <w:bCs/>
                <w:color w:val="auto"/>
              </w:rPr>
              <w:t>.</w:t>
            </w:r>
          </w:p>
        </w:tc>
      </w:tr>
    </w:tbl>
    <w:p w14:paraId="65A53D9D"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31DD74D6" w14:textId="77777777" w:rsidTr="00DB1144">
        <w:tc>
          <w:tcPr>
            <w:tcW w:w="5000" w:type="pct"/>
            <w:tcBorders>
              <w:left w:val="single" w:sz="4" w:space="0" w:color="auto"/>
              <w:right w:val="single" w:sz="4" w:space="0" w:color="auto"/>
            </w:tcBorders>
          </w:tcPr>
          <w:p w14:paraId="0F39A78D" w14:textId="77777777" w:rsidR="00F40D75" w:rsidRPr="00F40D75" w:rsidRDefault="00F40D75" w:rsidP="00F40D75">
            <w:pPr>
              <w:spacing w:before="0" w:after="0"/>
              <w:ind w:left="0"/>
              <w:rPr>
                <w:rFonts w:ascii="Arial" w:eastAsia="MS Mincho" w:hAnsi="Arial" w:cs="Arial"/>
                <w:b/>
                <w:bCs/>
                <w:color w:val="000000"/>
              </w:rPr>
            </w:pPr>
            <w:r w:rsidRPr="00F40D75">
              <w:rPr>
                <w:rFonts w:ascii="Arial" w:eastAsia="MS Mincho" w:hAnsi="Arial" w:cs="Arial"/>
                <w:b/>
                <w:bCs/>
                <w:color w:val="000000"/>
              </w:rPr>
              <w:t>REVIEW</w:t>
            </w:r>
          </w:p>
        </w:tc>
      </w:tr>
      <w:tr w:rsidR="00F40D75" w:rsidRPr="00F40D75" w14:paraId="53AFFD45" w14:textId="77777777" w:rsidTr="00DB1144">
        <w:tc>
          <w:tcPr>
            <w:tcW w:w="5000" w:type="pct"/>
            <w:tcBorders>
              <w:left w:val="single" w:sz="4" w:space="0" w:color="auto"/>
              <w:right w:val="single" w:sz="4" w:space="0" w:color="auto"/>
            </w:tcBorders>
          </w:tcPr>
          <w:p w14:paraId="17D7FA74"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How often will you review this policy / service? </w:t>
            </w:r>
          </w:p>
        </w:tc>
      </w:tr>
      <w:tr w:rsidR="00F40D75" w:rsidRPr="00F40D75" w14:paraId="4B509854" w14:textId="77777777" w:rsidTr="00797DF8">
        <w:trPr>
          <w:trHeight w:val="463"/>
        </w:trPr>
        <w:tc>
          <w:tcPr>
            <w:tcW w:w="5000" w:type="pct"/>
            <w:tcBorders>
              <w:left w:val="single" w:sz="4" w:space="0" w:color="auto"/>
              <w:right w:val="single" w:sz="4" w:space="0" w:color="auto"/>
            </w:tcBorders>
          </w:tcPr>
          <w:p w14:paraId="219424B3"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Every 2 years as a minimum and earlier if there are any significant changes in legislation, policy or good practice.</w:t>
            </w:r>
          </w:p>
        </w:tc>
      </w:tr>
      <w:tr w:rsidR="00F40D75" w:rsidRPr="00F40D75" w14:paraId="47741A54" w14:textId="77777777" w:rsidTr="00DB1144">
        <w:tc>
          <w:tcPr>
            <w:tcW w:w="5000" w:type="pct"/>
            <w:tcBorders>
              <w:left w:val="single" w:sz="4" w:space="0" w:color="auto"/>
              <w:right w:val="single" w:sz="4" w:space="0" w:color="auto"/>
            </w:tcBorders>
          </w:tcPr>
          <w:p w14:paraId="6DF0BC48"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If a review process is not in place, what plans do you have to establish one?</w:t>
            </w:r>
          </w:p>
        </w:tc>
      </w:tr>
      <w:tr w:rsidR="00F40D75" w:rsidRPr="00F40D75" w14:paraId="73B3F34F" w14:textId="77777777" w:rsidTr="00DB1144">
        <w:trPr>
          <w:trHeight w:val="275"/>
        </w:trPr>
        <w:tc>
          <w:tcPr>
            <w:tcW w:w="5000" w:type="pct"/>
            <w:tcBorders>
              <w:left w:val="single" w:sz="4" w:space="0" w:color="auto"/>
              <w:right w:val="single" w:sz="4" w:space="0" w:color="auto"/>
            </w:tcBorders>
          </w:tcPr>
          <w:p w14:paraId="4C22F23D"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N/A</w:t>
            </w:r>
          </w:p>
        </w:tc>
      </w:tr>
    </w:tbl>
    <w:p w14:paraId="01ABF57A" w14:textId="77777777" w:rsidR="00BB3B88" w:rsidRDefault="00BB3B88" w:rsidP="00F40D75">
      <w:pPr>
        <w:ind w:left="0"/>
      </w:pPr>
    </w:p>
    <w:p w14:paraId="43468A85" w14:textId="7E4F6D52" w:rsidR="00BB3B88" w:rsidRDefault="00BB3B88" w:rsidP="00F40D75">
      <w:pPr>
        <w:ind w:left="0"/>
      </w:pPr>
      <w:r>
        <w:lastRenderedPageBreak/>
        <w:t>Signed off by:</w:t>
      </w:r>
      <w:r w:rsidR="00AD39FB">
        <w:t xml:space="preserve"> Dannielle Robinson </w:t>
      </w:r>
    </w:p>
    <w:p w14:paraId="0A78E6F9" w14:textId="61D2A746" w:rsidR="00BB3B88" w:rsidRPr="00F40D75" w:rsidRDefault="00BB3B88" w:rsidP="00F40D75">
      <w:pPr>
        <w:ind w:left="0"/>
      </w:pPr>
      <w:r>
        <w:t xml:space="preserve">Date: </w:t>
      </w:r>
      <w:r w:rsidR="00AD39FB">
        <w:t>04/02/2026</w:t>
      </w:r>
    </w:p>
    <w:sectPr w:rsidR="00BB3B88" w:rsidRPr="00F40D75" w:rsidSect="00DC2F69">
      <w:headerReference w:type="default" r:id="rId41"/>
      <w:pgSz w:w="11906" w:h="16838"/>
      <w:pgMar w:top="1560" w:right="1440" w:bottom="1797" w:left="1440"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B482" w14:textId="77777777" w:rsidR="00994B47" w:rsidRDefault="00994B47" w:rsidP="00EB783D">
      <w:pPr>
        <w:spacing w:before="0" w:after="0"/>
      </w:pPr>
      <w:r>
        <w:separator/>
      </w:r>
    </w:p>
  </w:endnote>
  <w:endnote w:type="continuationSeparator" w:id="0">
    <w:p w14:paraId="0BE5F10F" w14:textId="77777777" w:rsidR="00994B47" w:rsidRDefault="00994B47" w:rsidP="00EB783D">
      <w:pPr>
        <w:spacing w:before="0" w:after="0"/>
      </w:pPr>
      <w:r>
        <w:continuationSeparator/>
      </w:r>
    </w:p>
  </w:endnote>
  <w:endnote w:type="continuationNotice" w:id="1">
    <w:p w14:paraId="0F0A6F68" w14:textId="77777777" w:rsidR="00994B47" w:rsidRDefault="00994B4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2ECB" w14:textId="77777777" w:rsidR="00286242" w:rsidRDefault="00286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9FF6" w14:textId="15BABFB1" w:rsidR="00076346" w:rsidRPr="00A91472" w:rsidRDefault="00000000" w:rsidP="00EB783D">
    <w:pPr>
      <w:pStyle w:val="Footer"/>
      <w:ind w:left="0"/>
    </w:pPr>
    <w:sdt>
      <w:sdtPr>
        <w:alias w:val="Title"/>
        <w:tag w:val="title"/>
        <w:id w:val="-1978518315"/>
        <w:dataBinding w:prefixMappings="xmlns:ns0='http://purl.org/dc/elements/1.1/' xmlns:ns1='http://schemas.openxmlformats.org/package/2006/metadata/core-properties' " w:xpath="/ns1:coreProperties[1]/ns0:title[1]" w:storeItemID="{6C3C8BC8-F283-45AE-878A-BAB7291924A1}"/>
        <w:text/>
      </w:sdtPr>
      <w:sdtContent>
        <w:r w:rsidR="004C2E5D">
          <w:t>Patient Choice Policy / V</w:t>
        </w:r>
        <w:r w:rsidR="00862635">
          <w:t>ersion 1.0</w:t>
        </w:r>
      </w:sdtContent>
    </w:sdt>
    <w:r w:rsidR="00076346" w:rsidRPr="00C1239F">
      <w:tab/>
    </w:r>
    <w:r w:rsidR="00076346" w:rsidRPr="00C1239F">
      <w:tab/>
    </w:r>
    <w:r w:rsidR="00076346" w:rsidRPr="00C90341">
      <w:t xml:space="preserve">Page </w:t>
    </w:r>
    <w:r w:rsidR="00076346" w:rsidRPr="00C90341">
      <w:fldChar w:fldCharType="begin"/>
    </w:r>
    <w:r w:rsidR="00076346" w:rsidRPr="00C90341">
      <w:instrText xml:space="preserve"> PAGE </w:instrText>
    </w:r>
    <w:r w:rsidR="00076346" w:rsidRPr="00C90341">
      <w:fldChar w:fldCharType="separate"/>
    </w:r>
    <w:r w:rsidR="00076346">
      <w:t>2</w:t>
    </w:r>
    <w:r w:rsidR="00076346" w:rsidRPr="00C90341">
      <w:fldChar w:fldCharType="end"/>
    </w:r>
    <w:r w:rsidR="00076346" w:rsidRPr="00C90341">
      <w:t xml:space="preserve"> of </w:t>
    </w:r>
    <w:r w:rsidR="006F2F07">
      <w:fldChar w:fldCharType="begin"/>
    </w:r>
    <w:r w:rsidR="006F2F07">
      <w:instrText xml:space="preserve"> NUMPAGES </w:instrText>
    </w:r>
    <w:r w:rsidR="006F2F07">
      <w:fldChar w:fldCharType="separate"/>
    </w:r>
    <w:r w:rsidR="00076346">
      <w:t>11</w:t>
    </w:r>
    <w:r w:rsidR="006F2F07">
      <w:fldChar w:fldCharType="end"/>
    </w:r>
  </w:p>
  <w:p w14:paraId="63F15D22" w14:textId="77777777" w:rsidR="00076346" w:rsidRDefault="000763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B04C" w14:textId="77777777" w:rsidR="00286242" w:rsidRDefault="00286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B67E" w14:textId="77777777" w:rsidR="00994B47" w:rsidRDefault="00994B47" w:rsidP="00EB783D">
      <w:pPr>
        <w:spacing w:before="0" w:after="0"/>
      </w:pPr>
      <w:r>
        <w:separator/>
      </w:r>
    </w:p>
  </w:footnote>
  <w:footnote w:type="continuationSeparator" w:id="0">
    <w:p w14:paraId="32D410AF" w14:textId="77777777" w:rsidR="00994B47" w:rsidRDefault="00994B47" w:rsidP="00EB783D">
      <w:pPr>
        <w:spacing w:before="0" w:after="0"/>
      </w:pPr>
      <w:r>
        <w:continuationSeparator/>
      </w:r>
    </w:p>
  </w:footnote>
  <w:footnote w:type="continuationNotice" w:id="1">
    <w:p w14:paraId="2A54EF01" w14:textId="77777777" w:rsidR="00994B47" w:rsidRDefault="00994B4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C3A1" w14:textId="77777777" w:rsidR="00286242" w:rsidRDefault="00286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6ADC" w14:textId="5030B23C" w:rsidR="00076346" w:rsidRDefault="00076346"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EA18" w14:textId="77777777" w:rsidR="00286242" w:rsidRDefault="002862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A10A" w14:textId="4984B9E8" w:rsidR="00076346" w:rsidRDefault="00076346" w:rsidP="00EB783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B42"/>
    <w:multiLevelType w:val="hybridMultilevel"/>
    <w:tmpl w:val="27E28A82"/>
    <w:lvl w:ilvl="0" w:tplc="B3F2D16A">
      <w:start w:val="1"/>
      <w:numFmt w:val="bullet"/>
      <w:lvlText w:val=""/>
      <w:lvlJc w:val="left"/>
      <w:pPr>
        <w:ind w:left="720" w:hanging="360"/>
      </w:pPr>
      <w:rPr>
        <w:rFonts w:ascii="Wingdings" w:hAnsi="Wingdings" w:hint="default"/>
        <w:color w:val="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E6BA1"/>
    <w:multiLevelType w:val="hybridMultilevel"/>
    <w:tmpl w:val="826E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037C95"/>
    <w:multiLevelType w:val="hybridMultilevel"/>
    <w:tmpl w:val="E878E65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8E22134"/>
    <w:multiLevelType w:val="hybridMultilevel"/>
    <w:tmpl w:val="1C72A762"/>
    <w:lvl w:ilvl="0" w:tplc="D46E22B0">
      <w:start w:val="7"/>
      <w:numFmt w:val="decimal"/>
      <w:lvlText w:val="%1."/>
      <w:lvlJc w:val="left"/>
      <w:pPr>
        <w:ind w:left="1669" w:hanging="269"/>
      </w:pPr>
      <w:rPr>
        <w:rFonts w:ascii="Arial" w:eastAsia="Arial" w:hAnsi="Arial" w:cs="Arial" w:hint="default"/>
        <w:b/>
        <w:bCs/>
        <w:w w:val="99"/>
        <w:sz w:val="24"/>
        <w:szCs w:val="24"/>
        <w:lang w:val="en-GB" w:eastAsia="en-GB" w:bidi="en-GB"/>
      </w:rPr>
    </w:lvl>
    <w:lvl w:ilvl="1" w:tplc="213425BA">
      <w:numFmt w:val="bullet"/>
      <w:lvlText w:val=""/>
      <w:lvlJc w:val="left"/>
      <w:pPr>
        <w:ind w:left="2840" w:hanging="720"/>
      </w:pPr>
      <w:rPr>
        <w:rFonts w:ascii="Symbol" w:eastAsia="Symbol" w:hAnsi="Symbol" w:cs="Symbol" w:hint="default"/>
        <w:w w:val="100"/>
        <w:sz w:val="24"/>
        <w:szCs w:val="24"/>
        <w:lang w:val="en-GB" w:eastAsia="en-GB" w:bidi="en-GB"/>
      </w:rPr>
    </w:lvl>
    <w:lvl w:ilvl="2" w:tplc="CC209B66">
      <w:numFmt w:val="bullet"/>
      <w:lvlText w:val="•"/>
      <w:lvlJc w:val="left"/>
      <w:pPr>
        <w:ind w:left="2840" w:hanging="720"/>
      </w:pPr>
      <w:rPr>
        <w:rFonts w:hint="default"/>
        <w:lang w:val="en-GB" w:eastAsia="en-GB" w:bidi="en-GB"/>
      </w:rPr>
    </w:lvl>
    <w:lvl w:ilvl="3" w:tplc="32D6AA68">
      <w:numFmt w:val="bullet"/>
      <w:lvlText w:val="•"/>
      <w:lvlJc w:val="left"/>
      <w:pPr>
        <w:ind w:left="3917" w:hanging="720"/>
      </w:pPr>
      <w:rPr>
        <w:rFonts w:hint="default"/>
        <w:lang w:val="en-GB" w:eastAsia="en-GB" w:bidi="en-GB"/>
      </w:rPr>
    </w:lvl>
    <w:lvl w:ilvl="4" w:tplc="CC4E75B2">
      <w:numFmt w:val="bullet"/>
      <w:lvlText w:val="•"/>
      <w:lvlJc w:val="left"/>
      <w:pPr>
        <w:ind w:left="4995" w:hanging="720"/>
      </w:pPr>
      <w:rPr>
        <w:rFonts w:hint="default"/>
        <w:lang w:val="en-GB" w:eastAsia="en-GB" w:bidi="en-GB"/>
      </w:rPr>
    </w:lvl>
    <w:lvl w:ilvl="5" w:tplc="D26AE9FE">
      <w:numFmt w:val="bullet"/>
      <w:lvlText w:val="•"/>
      <w:lvlJc w:val="left"/>
      <w:pPr>
        <w:ind w:left="6072" w:hanging="720"/>
      </w:pPr>
      <w:rPr>
        <w:rFonts w:hint="default"/>
        <w:lang w:val="en-GB" w:eastAsia="en-GB" w:bidi="en-GB"/>
      </w:rPr>
    </w:lvl>
    <w:lvl w:ilvl="6" w:tplc="452E6AB4">
      <w:numFmt w:val="bullet"/>
      <w:lvlText w:val="•"/>
      <w:lvlJc w:val="left"/>
      <w:pPr>
        <w:ind w:left="7150" w:hanging="720"/>
      </w:pPr>
      <w:rPr>
        <w:rFonts w:hint="default"/>
        <w:lang w:val="en-GB" w:eastAsia="en-GB" w:bidi="en-GB"/>
      </w:rPr>
    </w:lvl>
    <w:lvl w:ilvl="7" w:tplc="D8606F04">
      <w:numFmt w:val="bullet"/>
      <w:lvlText w:val="•"/>
      <w:lvlJc w:val="left"/>
      <w:pPr>
        <w:ind w:left="8228" w:hanging="720"/>
      </w:pPr>
      <w:rPr>
        <w:rFonts w:hint="default"/>
        <w:lang w:val="en-GB" w:eastAsia="en-GB" w:bidi="en-GB"/>
      </w:rPr>
    </w:lvl>
    <w:lvl w:ilvl="8" w:tplc="50184140">
      <w:numFmt w:val="bullet"/>
      <w:lvlText w:val="•"/>
      <w:lvlJc w:val="left"/>
      <w:pPr>
        <w:ind w:left="9305" w:hanging="720"/>
      </w:pPr>
      <w:rPr>
        <w:rFonts w:hint="default"/>
        <w:lang w:val="en-GB" w:eastAsia="en-GB" w:bidi="en-GB"/>
      </w:rPr>
    </w:lvl>
  </w:abstractNum>
  <w:abstractNum w:abstractNumId="5"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D809F2"/>
    <w:multiLevelType w:val="multilevel"/>
    <w:tmpl w:val="966E7B06"/>
    <w:lvl w:ilvl="0">
      <w:start w:val="5"/>
      <w:numFmt w:val="decimal"/>
      <w:lvlText w:val="%1"/>
      <w:lvlJc w:val="left"/>
      <w:pPr>
        <w:ind w:left="530" w:hanging="530"/>
      </w:pPr>
      <w:rPr>
        <w:rFonts w:hint="default"/>
        <w:b w:val="0"/>
      </w:rPr>
    </w:lvl>
    <w:lvl w:ilvl="1">
      <w:start w:val="2"/>
      <w:numFmt w:val="decimal"/>
      <w:lvlText w:val="%1.%2"/>
      <w:lvlJc w:val="left"/>
      <w:pPr>
        <w:ind w:left="955" w:hanging="53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2355" w:hanging="108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565" w:hanging="144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775" w:hanging="1800"/>
      </w:pPr>
      <w:rPr>
        <w:rFonts w:hint="default"/>
        <w:b w:val="0"/>
      </w:rPr>
    </w:lvl>
    <w:lvl w:ilvl="8">
      <w:start w:val="1"/>
      <w:numFmt w:val="decimal"/>
      <w:lvlText w:val="%1.%2.%3.%4.%5.%6.%7.%8.%9"/>
      <w:lvlJc w:val="left"/>
      <w:pPr>
        <w:ind w:left="5200" w:hanging="1800"/>
      </w:pPr>
      <w:rPr>
        <w:rFonts w:hint="default"/>
        <w:b w:val="0"/>
      </w:rPr>
    </w:lvl>
  </w:abstractNum>
  <w:abstractNum w:abstractNumId="9"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A2106"/>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BD7F21"/>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985"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C460B8"/>
    <w:multiLevelType w:val="hybridMultilevel"/>
    <w:tmpl w:val="A274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52A13C3D"/>
    <w:multiLevelType w:val="hybridMultilevel"/>
    <w:tmpl w:val="784A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42E05"/>
    <w:multiLevelType w:val="multilevel"/>
    <w:tmpl w:val="56AA431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02111E"/>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495E18"/>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4711E3"/>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1A276D"/>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275145"/>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79582384">
    <w:abstractNumId w:val="12"/>
  </w:num>
  <w:num w:numId="2" w16cid:durableId="638220200">
    <w:abstractNumId w:val="19"/>
  </w:num>
  <w:num w:numId="3" w16cid:durableId="1542324544">
    <w:abstractNumId w:val="23"/>
  </w:num>
  <w:num w:numId="4" w16cid:durableId="1694916857">
    <w:abstractNumId w:val="5"/>
  </w:num>
  <w:num w:numId="5" w16cid:durableId="1593275576">
    <w:abstractNumId w:val="18"/>
  </w:num>
  <w:num w:numId="6" w16cid:durableId="672991853">
    <w:abstractNumId w:val="21"/>
  </w:num>
  <w:num w:numId="7" w16cid:durableId="1391804650">
    <w:abstractNumId w:val="7"/>
  </w:num>
  <w:num w:numId="8" w16cid:durableId="1034623747">
    <w:abstractNumId w:val="15"/>
  </w:num>
  <w:num w:numId="9" w16cid:durableId="625699075">
    <w:abstractNumId w:val="26"/>
  </w:num>
  <w:num w:numId="10" w16cid:durableId="353921316">
    <w:abstractNumId w:val="2"/>
  </w:num>
  <w:num w:numId="11" w16cid:durableId="1609199228">
    <w:abstractNumId w:val="14"/>
  </w:num>
  <w:num w:numId="12" w16cid:durableId="1704285563">
    <w:abstractNumId w:val="9"/>
  </w:num>
  <w:num w:numId="13" w16cid:durableId="394397889">
    <w:abstractNumId w:val="6"/>
  </w:num>
  <w:num w:numId="14" w16cid:durableId="635532497">
    <w:abstractNumId w:val="13"/>
  </w:num>
  <w:num w:numId="15" w16cid:durableId="18942524">
    <w:abstractNumId w:val="11"/>
  </w:num>
  <w:num w:numId="16" w16cid:durableId="1258632393">
    <w:abstractNumId w:val="27"/>
  </w:num>
  <w:num w:numId="17" w16cid:durableId="353918147">
    <w:abstractNumId w:val="20"/>
  </w:num>
  <w:num w:numId="18" w16cid:durableId="222107272">
    <w:abstractNumId w:val="10"/>
  </w:num>
  <w:num w:numId="19" w16cid:durableId="1609579521">
    <w:abstractNumId w:val="22"/>
  </w:num>
  <w:num w:numId="20" w16cid:durableId="1662732203">
    <w:abstractNumId w:val="25"/>
  </w:num>
  <w:num w:numId="21" w16cid:durableId="324210389">
    <w:abstractNumId w:val="0"/>
  </w:num>
  <w:num w:numId="22" w16cid:durableId="1244877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277865">
    <w:abstractNumId w:val="24"/>
  </w:num>
  <w:num w:numId="24" w16cid:durableId="1815441035">
    <w:abstractNumId w:val="3"/>
  </w:num>
  <w:num w:numId="25" w16cid:durableId="1739667382">
    <w:abstractNumId w:val="17"/>
  </w:num>
  <w:num w:numId="26" w16cid:durableId="1469669092">
    <w:abstractNumId w:val="1"/>
  </w:num>
  <w:num w:numId="27" w16cid:durableId="1314407876">
    <w:abstractNumId w:val="12"/>
  </w:num>
  <w:num w:numId="28" w16cid:durableId="1641111472">
    <w:abstractNumId w:val="16"/>
  </w:num>
  <w:num w:numId="29" w16cid:durableId="116341362">
    <w:abstractNumId w:val="4"/>
  </w:num>
  <w:num w:numId="30" w16cid:durableId="282151725">
    <w:abstractNumId w:val="8"/>
  </w:num>
  <w:num w:numId="31" w16cid:durableId="1628201917">
    <w:abstractNumId w:val="12"/>
  </w:num>
  <w:num w:numId="32" w16cid:durableId="720792065">
    <w:abstractNumId w:val="12"/>
  </w:num>
  <w:num w:numId="33" w16cid:durableId="1763604357">
    <w:abstractNumId w:val="12"/>
  </w:num>
  <w:num w:numId="34" w16cid:durableId="162822899">
    <w:abstractNumId w:val="12"/>
  </w:num>
  <w:num w:numId="35" w16cid:durableId="1462722659">
    <w:abstractNumId w:val="12"/>
  </w:num>
  <w:num w:numId="36" w16cid:durableId="1662125205">
    <w:abstractNumId w:val="12"/>
  </w:num>
  <w:num w:numId="37" w16cid:durableId="2053848448">
    <w:abstractNumId w:val="12"/>
  </w:num>
  <w:num w:numId="38" w16cid:durableId="15160474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4FA"/>
    <w:rsid w:val="00005E44"/>
    <w:rsid w:val="00011723"/>
    <w:rsid w:val="000168A8"/>
    <w:rsid w:val="00016E12"/>
    <w:rsid w:val="00021F9E"/>
    <w:rsid w:val="00024859"/>
    <w:rsid w:val="00026EB2"/>
    <w:rsid w:val="00027D6C"/>
    <w:rsid w:val="00032882"/>
    <w:rsid w:val="00033783"/>
    <w:rsid w:val="00033ADA"/>
    <w:rsid w:val="00035198"/>
    <w:rsid w:val="00040C78"/>
    <w:rsid w:val="00040FAE"/>
    <w:rsid w:val="00044C97"/>
    <w:rsid w:val="00050BFB"/>
    <w:rsid w:val="00053CDD"/>
    <w:rsid w:val="0005545E"/>
    <w:rsid w:val="000569A3"/>
    <w:rsid w:val="000579BE"/>
    <w:rsid w:val="00063BEB"/>
    <w:rsid w:val="000665B0"/>
    <w:rsid w:val="00066A68"/>
    <w:rsid w:val="00073306"/>
    <w:rsid w:val="00075B79"/>
    <w:rsid w:val="00076346"/>
    <w:rsid w:val="00077DAD"/>
    <w:rsid w:val="00085D32"/>
    <w:rsid w:val="00093763"/>
    <w:rsid w:val="0009478C"/>
    <w:rsid w:val="00094FB7"/>
    <w:rsid w:val="00095B22"/>
    <w:rsid w:val="000A03F3"/>
    <w:rsid w:val="000A259E"/>
    <w:rsid w:val="000B6941"/>
    <w:rsid w:val="000C048B"/>
    <w:rsid w:val="000C3BCD"/>
    <w:rsid w:val="000D66A6"/>
    <w:rsid w:val="000D71EF"/>
    <w:rsid w:val="000D7CD4"/>
    <w:rsid w:val="000E017E"/>
    <w:rsid w:val="000F560D"/>
    <w:rsid w:val="001029D5"/>
    <w:rsid w:val="0010452E"/>
    <w:rsid w:val="0010482B"/>
    <w:rsid w:val="00106907"/>
    <w:rsid w:val="00126ED8"/>
    <w:rsid w:val="00136CE4"/>
    <w:rsid w:val="001372BC"/>
    <w:rsid w:val="00137B4C"/>
    <w:rsid w:val="00145DBB"/>
    <w:rsid w:val="00155883"/>
    <w:rsid w:val="00157228"/>
    <w:rsid w:val="00157456"/>
    <w:rsid w:val="00157C72"/>
    <w:rsid w:val="00161A6E"/>
    <w:rsid w:val="00182415"/>
    <w:rsid w:val="00182901"/>
    <w:rsid w:val="0018348A"/>
    <w:rsid w:val="00186694"/>
    <w:rsid w:val="001946F0"/>
    <w:rsid w:val="0019504E"/>
    <w:rsid w:val="00195239"/>
    <w:rsid w:val="001A116B"/>
    <w:rsid w:val="001B0714"/>
    <w:rsid w:val="001B092D"/>
    <w:rsid w:val="001B174D"/>
    <w:rsid w:val="001B214F"/>
    <w:rsid w:val="001B4012"/>
    <w:rsid w:val="001B6A4D"/>
    <w:rsid w:val="001B70DE"/>
    <w:rsid w:val="001C18B7"/>
    <w:rsid w:val="001C20E6"/>
    <w:rsid w:val="001C349E"/>
    <w:rsid w:val="001C3603"/>
    <w:rsid w:val="001C3D04"/>
    <w:rsid w:val="001D0547"/>
    <w:rsid w:val="001D1E17"/>
    <w:rsid w:val="001D2701"/>
    <w:rsid w:val="001D40D4"/>
    <w:rsid w:val="001D512A"/>
    <w:rsid w:val="001E685F"/>
    <w:rsid w:val="001E6F49"/>
    <w:rsid w:val="001F511D"/>
    <w:rsid w:val="001F56B9"/>
    <w:rsid w:val="001F64C6"/>
    <w:rsid w:val="001F712A"/>
    <w:rsid w:val="00201D2F"/>
    <w:rsid w:val="00201DAA"/>
    <w:rsid w:val="00202AE9"/>
    <w:rsid w:val="00207744"/>
    <w:rsid w:val="002103FB"/>
    <w:rsid w:val="00210612"/>
    <w:rsid w:val="002106F1"/>
    <w:rsid w:val="002115E2"/>
    <w:rsid w:val="002119AC"/>
    <w:rsid w:val="00221BB3"/>
    <w:rsid w:val="00225AB9"/>
    <w:rsid w:val="002319A6"/>
    <w:rsid w:val="0023544D"/>
    <w:rsid w:val="0024163C"/>
    <w:rsid w:val="00244A59"/>
    <w:rsid w:val="0024600A"/>
    <w:rsid w:val="00250FB0"/>
    <w:rsid w:val="00253EC5"/>
    <w:rsid w:val="00254FFE"/>
    <w:rsid w:val="00256B67"/>
    <w:rsid w:val="00257051"/>
    <w:rsid w:val="00262D7A"/>
    <w:rsid w:val="00267C6E"/>
    <w:rsid w:val="002726C4"/>
    <w:rsid w:val="00274589"/>
    <w:rsid w:val="00276DA8"/>
    <w:rsid w:val="002807FB"/>
    <w:rsid w:val="00282177"/>
    <w:rsid w:val="00286242"/>
    <w:rsid w:val="002862E2"/>
    <w:rsid w:val="00286497"/>
    <w:rsid w:val="002A3449"/>
    <w:rsid w:val="002B032A"/>
    <w:rsid w:val="002B07E3"/>
    <w:rsid w:val="002B2C61"/>
    <w:rsid w:val="002B74CD"/>
    <w:rsid w:val="002D10EA"/>
    <w:rsid w:val="002D4474"/>
    <w:rsid w:val="002D4F8F"/>
    <w:rsid w:val="002D5D90"/>
    <w:rsid w:val="002D6151"/>
    <w:rsid w:val="002E738E"/>
    <w:rsid w:val="002F0FE5"/>
    <w:rsid w:val="002F2104"/>
    <w:rsid w:val="002F4B7B"/>
    <w:rsid w:val="002F6E2F"/>
    <w:rsid w:val="002F78D5"/>
    <w:rsid w:val="00300587"/>
    <w:rsid w:val="00301333"/>
    <w:rsid w:val="00301E63"/>
    <w:rsid w:val="00304064"/>
    <w:rsid w:val="003120A5"/>
    <w:rsid w:val="00317464"/>
    <w:rsid w:val="00320B44"/>
    <w:rsid w:val="003220AC"/>
    <w:rsid w:val="0032497E"/>
    <w:rsid w:val="00324D0B"/>
    <w:rsid w:val="00325659"/>
    <w:rsid w:val="003258C8"/>
    <w:rsid w:val="003259A7"/>
    <w:rsid w:val="00330671"/>
    <w:rsid w:val="00331F09"/>
    <w:rsid w:val="0033334D"/>
    <w:rsid w:val="00343A4F"/>
    <w:rsid w:val="003458D4"/>
    <w:rsid w:val="00347024"/>
    <w:rsid w:val="003547D8"/>
    <w:rsid w:val="003615B9"/>
    <w:rsid w:val="00366A85"/>
    <w:rsid w:val="00371134"/>
    <w:rsid w:val="00371FC0"/>
    <w:rsid w:val="003758BE"/>
    <w:rsid w:val="00375DF6"/>
    <w:rsid w:val="003771EC"/>
    <w:rsid w:val="00377534"/>
    <w:rsid w:val="003859EF"/>
    <w:rsid w:val="003871E7"/>
    <w:rsid w:val="00391A60"/>
    <w:rsid w:val="00393015"/>
    <w:rsid w:val="00393E60"/>
    <w:rsid w:val="00396D26"/>
    <w:rsid w:val="0039715A"/>
    <w:rsid w:val="00397538"/>
    <w:rsid w:val="003A0076"/>
    <w:rsid w:val="003A0831"/>
    <w:rsid w:val="003A3ABC"/>
    <w:rsid w:val="003A4E11"/>
    <w:rsid w:val="003A6045"/>
    <w:rsid w:val="003A663C"/>
    <w:rsid w:val="003B0CB5"/>
    <w:rsid w:val="003B0E19"/>
    <w:rsid w:val="003C1828"/>
    <w:rsid w:val="003C1DED"/>
    <w:rsid w:val="003C4BA3"/>
    <w:rsid w:val="003C5FF7"/>
    <w:rsid w:val="003C6732"/>
    <w:rsid w:val="003C68CF"/>
    <w:rsid w:val="003C6E42"/>
    <w:rsid w:val="003C7F33"/>
    <w:rsid w:val="003D066D"/>
    <w:rsid w:val="003D3E26"/>
    <w:rsid w:val="003F4C8D"/>
    <w:rsid w:val="00401AAF"/>
    <w:rsid w:val="004063EB"/>
    <w:rsid w:val="004071C5"/>
    <w:rsid w:val="004110A8"/>
    <w:rsid w:val="00411DED"/>
    <w:rsid w:val="004137A0"/>
    <w:rsid w:val="004237C8"/>
    <w:rsid w:val="00425C83"/>
    <w:rsid w:val="004266CB"/>
    <w:rsid w:val="00433761"/>
    <w:rsid w:val="004447A4"/>
    <w:rsid w:val="00447213"/>
    <w:rsid w:val="004505B9"/>
    <w:rsid w:val="0045546A"/>
    <w:rsid w:val="00460A72"/>
    <w:rsid w:val="00470482"/>
    <w:rsid w:val="004733BC"/>
    <w:rsid w:val="00474EC0"/>
    <w:rsid w:val="004752CD"/>
    <w:rsid w:val="0048437E"/>
    <w:rsid w:val="0049357E"/>
    <w:rsid w:val="00494C18"/>
    <w:rsid w:val="00495B79"/>
    <w:rsid w:val="004966D5"/>
    <w:rsid w:val="0049670F"/>
    <w:rsid w:val="004979BE"/>
    <w:rsid w:val="00497D93"/>
    <w:rsid w:val="004A1ADD"/>
    <w:rsid w:val="004A2F47"/>
    <w:rsid w:val="004A4C30"/>
    <w:rsid w:val="004A7F09"/>
    <w:rsid w:val="004B0C86"/>
    <w:rsid w:val="004B2B9F"/>
    <w:rsid w:val="004B3B04"/>
    <w:rsid w:val="004B4920"/>
    <w:rsid w:val="004C2E5D"/>
    <w:rsid w:val="004C4474"/>
    <w:rsid w:val="004C6630"/>
    <w:rsid w:val="004D3913"/>
    <w:rsid w:val="004D5CFA"/>
    <w:rsid w:val="004D6559"/>
    <w:rsid w:val="004E3042"/>
    <w:rsid w:val="004E5F32"/>
    <w:rsid w:val="004E6155"/>
    <w:rsid w:val="004E6E65"/>
    <w:rsid w:val="004E71F2"/>
    <w:rsid w:val="004F371B"/>
    <w:rsid w:val="005010AD"/>
    <w:rsid w:val="0050423D"/>
    <w:rsid w:val="0050428B"/>
    <w:rsid w:val="005061A3"/>
    <w:rsid w:val="00514203"/>
    <w:rsid w:val="005159A0"/>
    <w:rsid w:val="005167B1"/>
    <w:rsid w:val="00520D5F"/>
    <w:rsid w:val="00525089"/>
    <w:rsid w:val="005272A2"/>
    <w:rsid w:val="005275CE"/>
    <w:rsid w:val="005329C8"/>
    <w:rsid w:val="00533E7E"/>
    <w:rsid w:val="005361A6"/>
    <w:rsid w:val="005406DA"/>
    <w:rsid w:val="00546A28"/>
    <w:rsid w:val="00551B40"/>
    <w:rsid w:val="0055482E"/>
    <w:rsid w:val="00562866"/>
    <w:rsid w:val="00566310"/>
    <w:rsid w:val="00566E95"/>
    <w:rsid w:val="00573024"/>
    <w:rsid w:val="005745F7"/>
    <w:rsid w:val="00580382"/>
    <w:rsid w:val="005803F8"/>
    <w:rsid w:val="00582DE0"/>
    <w:rsid w:val="00586291"/>
    <w:rsid w:val="0058786B"/>
    <w:rsid w:val="005944D6"/>
    <w:rsid w:val="005A193D"/>
    <w:rsid w:val="005A3490"/>
    <w:rsid w:val="005B5AE3"/>
    <w:rsid w:val="005B669B"/>
    <w:rsid w:val="005C1F64"/>
    <w:rsid w:val="005C283E"/>
    <w:rsid w:val="005C527D"/>
    <w:rsid w:val="005D70D0"/>
    <w:rsid w:val="00610177"/>
    <w:rsid w:val="00611B95"/>
    <w:rsid w:val="006134A1"/>
    <w:rsid w:val="00617FFC"/>
    <w:rsid w:val="00637783"/>
    <w:rsid w:val="00641C6D"/>
    <w:rsid w:val="006606C1"/>
    <w:rsid w:val="00663BB8"/>
    <w:rsid w:val="00672677"/>
    <w:rsid w:val="006742C1"/>
    <w:rsid w:val="00680BB9"/>
    <w:rsid w:val="00684560"/>
    <w:rsid w:val="00685AC6"/>
    <w:rsid w:val="00686062"/>
    <w:rsid w:val="0068694C"/>
    <w:rsid w:val="006920A6"/>
    <w:rsid w:val="00692B11"/>
    <w:rsid w:val="00695BAA"/>
    <w:rsid w:val="006A3B30"/>
    <w:rsid w:val="006B2B1E"/>
    <w:rsid w:val="006B3E9C"/>
    <w:rsid w:val="006C3360"/>
    <w:rsid w:val="006C583A"/>
    <w:rsid w:val="006C7181"/>
    <w:rsid w:val="006D6B90"/>
    <w:rsid w:val="006D7FA5"/>
    <w:rsid w:val="006E1839"/>
    <w:rsid w:val="006E26AB"/>
    <w:rsid w:val="006F2F07"/>
    <w:rsid w:val="006F36FD"/>
    <w:rsid w:val="006F668C"/>
    <w:rsid w:val="006F7E48"/>
    <w:rsid w:val="00701580"/>
    <w:rsid w:val="00703067"/>
    <w:rsid w:val="00703332"/>
    <w:rsid w:val="00706434"/>
    <w:rsid w:val="00711EAB"/>
    <w:rsid w:val="00712930"/>
    <w:rsid w:val="00716D9A"/>
    <w:rsid w:val="00722098"/>
    <w:rsid w:val="007309AB"/>
    <w:rsid w:val="00732AFE"/>
    <w:rsid w:val="00732E4D"/>
    <w:rsid w:val="00741D9B"/>
    <w:rsid w:val="007515D9"/>
    <w:rsid w:val="00756227"/>
    <w:rsid w:val="00757283"/>
    <w:rsid w:val="00761388"/>
    <w:rsid w:val="00765ECA"/>
    <w:rsid w:val="00767B42"/>
    <w:rsid w:val="00770666"/>
    <w:rsid w:val="00781F15"/>
    <w:rsid w:val="0078241C"/>
    <w:rsid w:val="007840D8"/>
    <w:rsid w:val="007857E8"/>
    <w:rsid w:val="00786D48"/>
    <w:rsid w:val="00791CF9"/>
    <w:rsid w:val="00793D77"/>
    <w:rsid w:val="00795B02"/>
    <w:rsid w:val="00797DF8"/>
    <w:rsid w:val="007A039B"/>
    <w:rsid w:val="007B15E1"/>
    <w:rsid w:val="007B7D8B"/>
    <w:rsid w:val="007C31CA"/>
    <w:rsid w:val="007D172B"/>
    <w:rsid w:val="007D18C5"/>
    <w:rsid w:val="007E0DDA"/>
    <w:rsid w:val="007E64B1"/>
    <w:rsid w:val="007E7DF0"/>
    <w:rsid w:val="007F35C6"/>
    <w:rsid w:val="007F3827"/>
    <w:rsid w:val="007F5EDB"/>
    <w:rsid w:val="00800305"/>
    <w:rsid w:val="00810013"/>
    <w:rsid w:val="00810D4D"/>
    <w:rsid w:val="00817F7A"/>
    <w:rsid w:val="008202FD"/>
    <w:rsid w:val="00820699"/>
    <w:rsid w:val="00826D33"/>
    <w:rsid w:val="008279ED"/>
    <w:rsid w:val="008344D6"/>
    <w:rsid w:val="00835BEA"/>
    <w:rsid w:val="00840091"/>
    <w:rsid w:val="00842728"/>
    <w:rsid w:val="00843CF9"/>
    <w:rsid w:val="00844D34"/>
    <w:rsid w:val="008507F0"/>
    <w:rsid w:val="00851071"/>
    <w:rsid w:val="008517FE"/>
    <w:rsid w:val="00851B64"/>
    <w:rsid w:val="00851D73"/>
    <w:rsid w:val="008547E5"/>
    <w:rsid w:val="008551E1"/>
    <w:rsid w:val="00862635"/>
    <w:rsid w:val="00863E78"/>
    <w:rsid w:val="0086571E"/>
    <w:rsid w:val="00872119"/>
    <w:rsid w:val="00876591"/>
    <w:rsid w:val="00877367"/>
    <w:rsid w:val="00880483"/>
    <w:rsid w:val="0088244D"/>
    <w:rsid w:val="008824FF"/>
    <w:rsid w:val="008863AF"/>
    <w:rsid w:val="0089070C"/>
    <w:rsid w:val="008A06A2"/>
    <w:rsid w:val="008A43FA"/>
    <w:rsid w:val="008A5783"/>
    <w:rsid w:val="008B0894"/>
    <w:rsid w:val="008B2560"/>
    <w:rsid w:val="008B5BBD"/>
    <w:rsid w:val="008B67FF"/>
    <w:rsid w:val="008C0D99"/>
    <w:rsid w:val="008C597D"/>
    <w:rsid w:val="008C7024"/>
    <w:rsid w:val="008D034C"/>
    <w:rsid w:val="008D126E"/>
    <w:rsid w:val="008D65A4"/>
    <w:rsid w:val="008E33B7"/>
    <w:rsid w:val="008E4397"/>
    <w:rsid w:val="008E5168"/>
    <w:rsid w:val="008F0638"/>
    <w:rsid w:val="008F359E"/>
    <w:rsid w:val="008F48C5"/>
    <w:rsid w:val="008F5C91"/>
    <w:rsid w:val="00902F23"/>
    <w:rsid w:val="009102C2"/>
    <w:rsid w:val="00911A32"/>
    <w:rsid w:val="00911C7E"/>
    <w:rsid w:val="00914004"/>
    <w:rsid w:val="0091411B"/>
    <w:rsid w:val="00917A85"/>
    <w:rsid w:val="0092255F"/>
    <w:rsid w:val="00926B92"/>
    <w:rsid w:val="009312F7"/>
    <w:rsid w:val="009326CB"/>
    <w:rsid w:val="00935F06"/>
    <w:rsid w:val="00940DBF"/>
    <w:rsid w:val="00941A7A"/>
    <w:rsid w:val="00942FF7"/>
    <w:rsid w:val="009433D1"/>
    <w:rsid w:val="0094518E"/>
    <w:rsid w:val="00945C1E"/>
    <w:rsid w:val="00945DFA"/>
    <w:rsid w:val="0094611B"/>
    <w:rsid w:val="00946585"/>
    <w:rsid w:val="00953589"/>
    <w:rsid w:val="00955C93"/>
    <w:rsid w:val="009576CB"/>
    <w:rsid w:val="0096100F"/>
    <w:rsid w:val="00962FD6"/>
    <w:rsid w:val="0096307C"/>
    <w:rsid w:val="0096475D"/>
    <w:rsid w:val="009647F6"/>
    <w:rsid w:val="00965629"/>
    <w:rsid w:val="00967546"/>
    <w:rsid w:val="0096774D"/>
    <w:rsid w:val="0096776E"/>
    <w:rsid w:val="00972A60"/>
    <w:rsid w:val="00972E4B"/>
    <w:rsid w:val="00976117"/>
    <w:rsid w:val="00982F93"/>
    <w:rsid w:val="0098372E"/>
    <w:rsid w:val="00986E71"/>
    <w:rsid w:val="00990C68"/>
    <w:rsid w:val="00990FCE"/>
    <w:rsid w:val="00994147"/>
    <w:rsid w:val="00994B47"/>
    <w:rsid w:val="00994D9D"/>
    <w:rsid w:val="009966B3"/>
    <w:rsid w:val="009A11E4"/>
    <w:rsid w:val="009A1DCC"/>
    <w:rsid w:val="009A2489"/>
    <w:rsid w:val="009A3320"/>
    <w:rsid w:val="009A49D7"/>
    <w:rsid w:val="009A5BCB"/>
    <w:rsid w:val="009A7435"/>
    <w:rsid w:val="009A7716"/>
    <w:rsid w:val="009A7BE6"/>
    <w:rsid w:val="009A7DC7"/>
    <w:rsid w:val="009B161A"/>
    <w:rsid w:val="009B1B4F"/>
    <w:rsid w:val="009B21D7"/>
    <w:rsid w:val="009B242E"/>
    <w:rsid w:val="009B55D2"/>
    <w:rsid w:val="009B6373"/>
    <w:rsid w:val="009C2A82"/>
    <w:rsid w:val="009C506B"/>
    <w:rsid w:val="009C523D"/>
    <w:rsid w:val="009C6073"/>
    <w:rsid w:val="009D1227"/>
    <w:rsid w:val="009E49CA"/>
    <w:rsid w:val="009E6FAB"/>
    <w:rsid w:val="009F0F13"/>
    <w:rsid w:val="009F1EE0"/>
    <w:rsid w:val="009F46DD"/>
    <w:rsid w:val="009F505F"/>
    <w:rsid w:val="009F76DB"/>
    <w:rsid w:val="00A00F6D"/>
    <w:rsid w:val="00A12F26"/>
    <w:rsid w:val="00A1541A"/>
    <w:rsid w:val="00A16E5D"/>
    <w:rsid w:val="00A23003"/>
    <w:rsid w:val="00A27F3A"/>
    <w:rsid w:val="00A320E8"/>
    <w:rsid w:val="00A33AC9"/>
    <w:rsid w:val="00A34BF6"/>
    <w:rsid w:val="00A36E23"/>
    <w:rsid w:val="00A4159A"/>
    <w:rsid w:val="00A42278"/>
    <w:rsid w:val="00A42951"/>
    <w:rsid w:val="00A43323"/>
    <w:rsid w:val="00A45825"/>
    <w:rsid w:val="00A502D0"/>
    <w:rsid w:val="00A52D61"/>
    <w:rsid w:val="00A56DD3"/>
    <w:rsid w:val="00A6485C"/>
    <w:rsid w:val="00A65605"/>
    <w:rsid w:val="00A66C08"/>
    <w:rsid w:val="00A74E24"/>
    <w:rsid w:val="00A77AC6"/>
    <w:rsid w:val="00A826CE"/>
    <w:rsid w:val="00A83F22"/>
    <w:rsid w:val="00A84F97"/>
    <w:rsid w:val="00A90D19"/>
    <w:rsid w:val="00AA148E"/>
    <w:rsid w:val="00AA7EB4"/>
    <w:rsid w:val="00AB1AF9"/>
    <w:rsid w:val="00AB4777"/>
    <w:rsid w:val="00AB6B58"/>
    <w:rsid w:val="00AC39DE"/>
    <w:rsid w:val="00AC3BFE"/>
    <w:rsid w:val="00AD0F90"/>
    <w:rsid w:val="00AD39FB"/>
    <w:rsid w:val="00AD5B29"/>
    <w:rsid w:val="00AD6442"/>
    <w:rsid w:val="00AD67F1"/>
    <w:rsid w:val="00AD6FC0"/>
    <w:rsid w:val="00AE2B4A"/>
    <w:rsid w:val="00AE3317"/>
    <w:rsid w:val="00AE7907"/>
    <w:rsid w:val="00B02D4C"/>
    <w:rsid w:val="00B047A2"/>
    <w:rsid w:val="00B06767"/>
    <w:rsid w:val="00B13B41"/>
    <w:rsid w:val="00B14333"/>
    <w:rsid w:val="00B144FE"/>
    <w:rsid w:val="00B14D10"/>
    <w:rsid w:val="00B158E4"/>
    <w:rsid w:val="00B218EE"/>
    <w:rsid w:val="00B3123E"/>
    <w:rsid w:val="00B31CD9"/>
    <w:rsid w:val="00B32933"/>
    <w:rsid w:val="00B33971"/>
    <w:rsid w:val="00B40521"/>
    <w:rsid w:val="00B420E7"/>
    <w:rsid w:val="00B430D6"/>
    <w:rsid w:val="00B50D9B"/>
    <w:rsid w:val="00B61B39"/>
    <w:rsid w:val="00B643F0"/>
    <w:rsid w:val="00B64AA2"/>
    <w:rsid w:val="00B73847"/>
    <w:rsid w:val="00B73D47"/>
    <w:rsid w:val="00B74953"/>
    <w:rsid w:val="00B76345"/>
    <w:rsid w:val="00B76854"/>
    <w:rsid w:val="00B77949"/>
    <w:rsid w:val="00B80EAE"/>
    <w:rsid w:val="00B82BB1"/>
    <w:rsid w:val="00B846F1"/>
    <w:rsid w:val="00B8733C"/>
    <w:rsid w:val="00B91026"/>
    <w:rsid w:val="00BA6C25"/>
    <w:rsid w:val="00BB00A5"/>
    <w:rsid w:val="00BB3B88"/>
    <w:rsid w:val="00BB7B05"/>
    <w:rsid w:val="00BC405B"/>
    <w:rsid w:val="00BC6882"/>
    <w:rsid w:val="00BD5463"/>
    <w:rsid w:val="00BE03B9"/>
    <w:rsid w:val="00BE2C0D"/>
    <w:rsid w:val="00BF17CD"/>
    <w:rsid w:val="00BF7F48"/>
    <w:rsid w:val="00C02269"/>
    <w:rsid w:val="00C05A06"/>
    <w:rsid w:val="00C0647A"/>
    <w:rsid w:val="00C12D15"/>
    <w:rsid w:val="00C12D5B"/>
    <w:rsid w:val="00C12F06"/>
    <w:rsid w:val="00C148F1"/>
    <w:rsid w:val="00C176AF"/>
    <w:rsid w:val="00C20574"/>
    <w:rsid w:val="00C272A3"/>
    <w:rsid w:val="00C30A88"/>
    <w:rsid w:val="00C313AE"/>
    <w:rsid w:val="00C31806"/>
    <w:rsid w:val="00C323F0"/>
    <w:rsid w:val="00C3274A"/>
    <w:rsid w:val="00C4088C"/>
    <w:rsid w:val="00C42D33"/>
    <w:rsid w:val="00C43D7C"/>
    <w:rsid w:val="00C451A1"/>
    <w:rsid w:val="00C46A3B"/>
    <w:rsid w:val="00C50757"/>
    <w:rsid w:val="00C51C77"/>
    <w:rsid w:val="00C53AE9"/>
    <w:rsid w:val="00C63044"/>
    <w:rsid w:val="00C63C31"/>
    <w:rsid w:val="00C64A81"/>
    <w:rsid w:val="00C668FB"/>
    <w:rsid w:val="00C72F01"/>
    <w:rsid w:val="00C819CD"/>
    <w:rsid w:val="00C83C80"/>
    <w:rsid w:val="00C869D7"/>
    <w:rsid w:val="00C87ECC"/>
    <w:rsid w:val="00C9534F"/>
    <w:rsid w:val="00CA48F5"/>
    <w:rsid w:val="00CB48A0"/>
    <w:rsid w:val="00CC1979"/>
    <w:rsid w:val="00CC7247"/>
    <w:rsid w:val="00CD3137"/>
    <w:rsid w:val="00CE1C72"/>
    <w:rsid w:val="00CE2EA5"/>
    <w:rsid w:val="00CE31E2"/>
    <w:rsid w:val="00CE4669"/>
    <w:rsid w:val="00CE49B4"/>
    <w:rsid w:val="00CF4DB4"/>
    <w:rsid w:val="00D0632C"/>
    <w:rsid w:val="00D1089B"/>
    <w:rsid w:val="00D21350"/>
    <w:rsid w:val="00D23448"/>
    <w:rsid w:val="00D24E13"/>
    <w:rsid w:val="00D31AF9"/>
    <w:rsid w:val="00D35462"/>
    <w:rsid w:val="00D359CF"/>
    <w:rsid w:val="00D40308"/>
    <w:rsid w:val="00D40C2B"/>
    <w:rsid w:val="00D41750"/>
    <w:rsid w:val="00D44554"/>
    <w:rsid w:val="00D454E7"/>
    <w:rsid w:val="00D4653E"/>
    <w:rsid w:val="00D46ECB"/>
    <w:rsid w:val="00D478CE"/>
    <w:rsid w:val="00D504A7"/>
    <w:rsid w:val="00D537E9"/>
    <w:rsid w:val="00D539B0"/>
    <w:rsid w:val="00D56619"/>
    <w:rsid w:val="00D616EC"/>
    <w:rsid w:val="00D627A4"/>
    <w:rsid w:val="00D63512"/>
    <w:rsid w:val="00D641C1"/>
    <w:rsid w:val="00D64BB8"/>
    <w:rsid w:val="00D676C4"/>
    <w:rsid w:val="00D70075"/>
    <w:rsid w:val="00D71914"/>
    <w:rsid w:val="00D75BF4"/>
    <w:rsid w:val="00D80F71"/>
    <w:rsid w:val="00D85EC4"/>
    <w:rsid w:val="00D9038F"/>
    <w:rsid w:val="00D9351F"/>
    <w:rsid w:val="00D96B17"/>
    <w:rsid w:val="00DA1884"/>
    <w:rsid w:val="00DA1DBD"/>
    <w:rsid w:val="00DA30F4"/>
    <w:rsid w:val="00DA5335"/>
    <w:rsid w:val="00DB1144"/>
    <w:rsid w:val="00DB36E6"/>
    <w:rsid w:val="00DB3FB7"/>
    <w:rsid w:val="00DB57B2"/>
    <w:rsid w:val="00DB64EF"/>
    <w:rsid w:val="00DC2F69"/>
    <w:rsid w:val="00DC3744"/>
    <w:rsid w:val="00DC481B"/>
    <w:rsid w:val="00DC6E5D"/>
    <w:rsid w:val="00DC6EFD"/>
    <w:rsid w:val="00DD35C4"/>
    <w:rsid w:val="00DD3E4B"/>
    <w:rsid w:val="00DD7B4B"/>
    <w:rsid w:val="00DE2CEB"/>
    <w:rsid w:val="00DE3EFB"/>
    <w:rsid w:val="00DF1E32"/>
    <w:rsid w:val="00E02FC0"/>
    <w:rsid w:val="00E102CA"/>
    <w:rsid w:val="00E13040"/>
    <w:rsid w:val="00E1658B"/>
    <w:rsid w:val="00E21A5E"/>
    <w:rsid w:val="00E23D89"/>
    <w:rsid w:val="00E32C25"/>
    <w:rsid w:val="00E33F44"/>
    <w:rsid w:val="00E34BDF"/>
    <w:rsid w:val="00E36781"/>
    <w:rsid w:val="00E36975"/>
    <w:rsid w:val="00E40F2C"/>
    <w:rsid w:val="00E412A5"/>
    <w:rsid w:val="00E41A50"/>
    <w:rsid w:val="00E41BC5"/>
    <w:rsid w:val="00E467ED"/>
    <w:rsid w:val="00E474CC"/>
    <w:rsid w:val="00E55B40"/>
    <w:rsid w:val="00E55C9C"/>
    <w:rsid w:val="00E643B4"/>
    <w:rsid w:val="00E65120"/>
    <w:rsid w:val="00E710A4"/>
    <w:rsid w:val="00E77BA4"/>
    <w:rsid w:val="00E77C30"/>
    <w:rsid w:val="00E80606"/>
    <w:rsid w:val="00E81233"/>
    <w:rsid w:val="00E84AAF"/>
    <w:rsid w:val="00E87DE0"/>
    <w:rsid w:val="00E90CB2"/>
    <w:rsid w:val="00E95121"/>
    <w:rsid w:val="00E951B9"/>
    <w:rsid w:val="00E9580A"/>
    <w:rsid w:val="00EA4183"/>
    <w:rsid w:val="00EA43C7"/>
    <w:rsid w:val="00EA48BF"/>
    <w:rsid w:val="00EA49A2"/>
    <w:rsid w:val="00EB3F99"/>
    <w:rsid w:val="00EB44FF"/>
    <w:rsid w:val="00EB7837"/>
    <w:rsid w:val="00EB783D"/>
    <w:rsid w:val="00EC27AB"/>
    <w:rsid w:val="00EC71B6"/>
    <w:rsid w:val="00ED1089"/>
    <w:rsid w:val="00ED299D"/>
    <w:rsid w:val="00ED38C0"/>
    <w:rsid w:val="00ED3B67"/>
    <w:rsid w:val="00ED659C"/>
    <w:rsid w:val="00EE0D33"/>
    <w:rsid w:val="00EE1BEA"/>
    <w:rsid w:val="00EE5F4B"/>
    <w:rsid w:val="00EF0A5C"/>
    <w:rsid w:val="00EF6B1D"/>
    <w:rsid w:val="00EF74B3"/>
    <w:rsid w:val="00F06D00"/>
    <w:rsid w:val="00F10B7C"/>
    <w:rsid w:val="00F11CF1"/>
    <w:rsid w:val="00F14A0C"/>
    <w:rsid w:val="00F14F7D"/>
    <w:rsid w:val="00F175DC"/>
    <w:rsid w:val="00F20CD3"/>
    <w:rsid w:val="00F26FBD"/>
    <w:rsid w:val="00F27F29"/>
    <w:rsid w:val="00F30CDD"/>
    <w:rsid w:val="00F30E2C"/>
    <w:rsid w:val="00F30FCD"/>
    <w:rsid w:val="00F32F1E"/>
    <w:rsid w:val="00F354FD"/>
    <w:rsid w:val="00F36F14"/>
    <w:rsid w:val="00F40D75"/>
    <w:rsid w:val="00F45636"/>
    <w:rsid w:val="00F6599F"/>
    <w:rsid w:val="00F913CD"/>
    <w:rsid w:val="00FA1188"/>
    <w:rsid w:val="00FA12F9"/>
    <w:rsid w:val="00FB10CD"/>
    <w:rsid w:val="00FB1928"/>
    <w:rsid w:val="00FB3C48"/>
    <w:rsid w:val="00FB5878"/>
    <w:rsid w:val="00FC1E5A"/>
    <w:rsid w:val="00FC3325"/>
    <w:rsid w:val="00FC7170"/>
    <w:rsid w:val="00FC7C60"/>
    <w:rsid w:val="00FD0252"/>
    <w:rsid w:val="00FD06EB"/>
    <w:rsid w:val="00FD2B5D"/>
    <w:rsid w:val="00FD3475"/>
    <w:rsid w:val="00FE062E"/>
    <w:rsid w:val="00FE312F"/>
    <w:rsid w:val="00FF049D"/>
    <w:rsid w:val="00FF32EE"/>
    <w:rsid w:val="00FF37AF"/>
    <w:rsid w:val="00FF57B7"/>
    <w:rsid w:val="086680C2"/>
    <w:rsid w:val="0D8EE21C"/>
    <w:rsid w:val="0FA297A6"/>
    <w:rsid w:val="14663484"/>
    <w:rsid w:val="18E8739A"/>
    <w:rsid w:val="1B78072A"/>
    <w:rsid w:val="1FB18E38"/>
    <w:rsid w:val="2965F069"/>
    <w:rsid w:val="322B11DF"/>
    <w:rsid w:val="35285A3D"/>
    <w:rsid w:val="3548302C"/>
    <w:rsid w:val="357B6F7C"/>
    <w:rsid w:val="39AF20F1"/>
    <w:rsid w:val="3AA210A6"/>
    <w:rsid w:val="424CEDBC"/>
    <w:rsid w:val="49262A5F"/>
    <w:rsid w:val="4A159EE1"/>
    <w:rsid w:val="52DBE170"/>
    <w:rsid w:val="59EF1B38"/>
    <w:rsid w:val="5A3954F8"/>
    <w:rsid w:val="69F2DC28"/>
    <w:rsid w:val="6A2E553F"/>
    <w:rsid w:val="6D9D960F"/>
    <w:rsid w:val="716071D7"/>
    <w:rsid w:val="71B1127F"/>
    <w:rsid w:val="74528EDE"/>
    <w:rsid w:val="76B55D5F"/>
    <w:rsid w:val="775B6C70"/>
    <w:rsid w:val="782F2CAA"/>
    <w:rsid w:val="7BA696EA"/>
    <w:rsid w:val="7BCCE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0B5C6958-CF65-4450-BC32-D913AA88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ind w:left="1134"/>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F14A0C"/>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6D6B90"/>
    <w:pPr>
      <w:tabs>
        <w:tab w:val="right" w:leader="underscore" w:pos="9016"/>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6B3E9C"/>
    <w:pPr>
      <w:numPr>
        <w:numId w:val="9"/>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ind w:left="1985"/>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10"/>
      </w:numPr>
    </w:pPr>
  </w:style>
  <w:style w:type="numbering" w:customStyle="1" w:styleId="CurrentList8">
    <w:name w:val="Current List8"/>
    <w:uiPriority w:val="99"/>
    <w:rsid w:val="006B3E9C"/>
    <w:pPr>
      <w:numPr>
        <w:numId w:val="11"/>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table" w:customStyle="1" w:styleId="TableGrid1">
    <w:name w:val="Table Grid1"/>
    <w:basedOn w:val="TableNormal"/>
    <w:next w:val="TableGrid"/>
    <w:uiPriority w:val="59"/>
    <w:rsid w:val="00F4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1839"/>
    <w:rPr>
      <w:color w:val="605E5C"/>
      <w:shd w:val="clear" w:color="auto" w:fill="E1DFDD"/>
    </w:rPr>
  </w:style>
  <w:style w:type="paragraph" w:styleId="Revision">
    <w:name w:val="Revision"/>
    <w:hidden/>
    <w:uiPriority w:val="99"/>
    <w:semiHidden/>
    <w:rsid w:val="000C048B"/>
    <w:rPr>
      <w:color w:val="231F20" w:themeColor="text1"/>
    </w:rPr>
  </w:style>
  <w:style w:type="table" w:customStyle="1" w:styleId="TableGrid2">
    <w:name w:val="Table Grid2"/>
    <w:basedOn w:val="TableNormal"/>
    <w:next w:val="TableGrid"/>
    <w:uiPriority w:val="39"/>
    <w:rsid w:val="00ED3B6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1A6"/>
    <w:pPr>
      <w:spacing w:before="100" w:beforeAutospacing="1" w:after="100" w:afterAutospacing="1"/>
      <w:ind w:left="0"/>
    </w:pPr>
    <w:rPr>
      <w:rFonts w:ascii="Times New Roman" w:eastAsia="Times New Roman" w:hAnsi="Times New Roman" w:cs="Times New Roman"/>
      <w:color w:val="auto"/>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851071"/>
    <w:rPr>
      <w:rFonts w:cs="Times New Roman (Body CS)"/>
      <w:color w:val="231F20" w:themeColor="text1"/>
    </w:rPr>
  </w:style>
  <w:style w:type="character" w:styleId="FollowedHyperlink">
    <w:name w:val="FollowedHyperlink"/>
    <w:basedOn w:val="DefaultParagraphFont"/>
    <w:uiPriority w:val="99"/>
    <w:semiHidden/>
    <w:unhideWhenUsed/>
    <w:rsid w:val="00317464"/>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8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uk/government/publications/the-nhs-constitution-for-england" TargetMode="External"/><Relationship Id="rId26" Type="http://schemas.openxmlformats.org/officeDocument/2006/relationships/hyperlink" Target="https://www.essex.icb.nhs.uk/publications/medicines-and-medicines-related-devices-commissioning-policy/" TargetMode="External"/><Relationship Id="rId39" Type="http://schemas.openxmlformats.org/officeDocument/2006/relationships/hyperlink" Target="https://www.nice.org.uk/guidance/cg76" TargetMode="External"/><Relationship Id="rId21" Type="http://schemas.openxmlformats.org/officeDocument/2006/relationships/hyperlink" Target="https://www.nhs.uk/using-the-nhs/healthcare-abroad/going-abroad-for-treatment/" TargetMode="External"/><Relationship Id="rId34" Type="http://schemas.openxmlformats.org/officeDocument/2006/relationships/hyperlink" Target="https://www.longtermplan.nhs.uk/wp-content/uploads/2019/08/nhs-long-term-plan-version-1.2.pdf"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ssex.icb.nhs.uk/health/funding/nhs-continuing-healthcare/personal-health-budgets/" TargetMode="External"/><Relationship Id="rId29" Type="http://schemas.openxmlformats.org/officeDocument/2006/relationships/hyperlink" Target="mailto:mseicb-bb.patientchoice@nhs.net"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mc-uk.org/ethical-guidance/ethical-guidance-for-doctors/good-practice-in-prescribing-and-managing-medicines-and-devices" TargetMode="External"/><Relationship Id="rId32" Type="http://schemas.openxmlformats.org/officeDocument/2006/relationships/hyperlink" Target="https://www.england.nhs.uk/personalisedcare/choice/" TargetMode="External"/><Relationship Id="rId37" Type="http://schemas.openxmlformats.org/officeDocument/2006/relationships/hyperlink" Target="https://www.nice.org.uk/guidance/NG5/chapter/introduction" TargetMode="External"/><Relationship Id="rId40" Type="http://schemas.openxmlformats.org/officeDocument/2006/relationships/hyperlink" Target="https://www.gmc-uk.org/professional-standards/professional-standards-for-doctors/good-practice-in-prescribing-and-managing-medicines-and-devic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ice.org.uk/guidance/cg76" TargetMode="External"/><Relationship Id="rId28" Type="http://schemas.openxmlformats.org/officeDocument/2006/relationships/hyperlink" Target="mailto:eicb.complaints@nhs.net" TargetMode="External"/><Relationship Id="rId36" Type="http://schemas.openxmlformats.org/officeDocument/2006/relationships/hyperlink" Target="https://www.england.nhs.uk/long-read/the-provider-selection-regime-statutory-guidance/" TargetMode="External"/><Relationship Id="rId10" Type="http://schemas.openxmlformats.org/officeDocument/2006/relationships/endnotes" Target="endnotes.xml"/><Relationship Id="rId19" Type="http://schemas.openxmlformats.org/officeDocument/2006/relationships/hyperlink" Target="mailto:mseicb-bb.patientchoice@nhs.net" TargetMode="External"/><Relationship Id="rId31" Type="http://schemas.openxmlformats.org/officeDocument/2006/relationships/hyperlink" Target="http://www.essex.icb.nhs.uk/about/corporate-information/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the-nhs-choice-framework/the-nhs-choice-framework-what-choices-are-available-to-me-in-the-nhs" TargetMode="External"/><Relationship Id="rId27" Type="http://schemas.openxmlformats.org/officeDocument/2006/relationships/hyperlink" Target="https://www.nhs.uk/nhs-services/help-with-health-costs/healthcare-travel-costs-scheme-htcs/" TargetMode="External"/><Relationship Id="rId30" Type="http://schemas.openxmlformats.org/officeDocument/2006/relationships/hyperlink" Target="http://www.essex.icb.nhs.uk/about/corporate-information/policies" TargetMode="External"/><Relationship Id="rId35" Type="http://schemas.openxmlformats.org/officeDocument/2006/relationships/hyperlink" Target="https://www.legislation.gov.uk/ukpga/2012/7/pdfs/ukpga_20120007_en.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ngland.nhs.uk/medicines-2/medicines-optimisation/" TargetMode="External"/><Relationship Id="rId33" Type="http://schemas.openxmlformats.org/officeDocument/2006/relationships/hyperlink" Target="https://www.england.nhs.uk/wp-content/uploads/2019/01/universal-personalised-care.pdf" TargetMode="External"/><Relationship Id="rId38" Type="http://schemas.openxmlformats.org/officeDocument/2006/relationships/hyperlink" Target="https://www.england.nhs.uk/medicines-2/medicines-optimi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03CF12-9ABF-48F8-A6BB-7AC4770B2528}">
  <ds:schemaRefs>
    <ds:schemaRef ds:uri="http://schemas.microsoft.com/sharepoint/v3/contenttype/forms"/>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A0746D5E-099E-4D98-89F7-142659BA1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89FFA1-E180-4CCB-B900-C4757784F3B9}">
  <ds:schemaRefs>
    <ds:schemaRef ds:uri="http://schemas.microsoft.com/office/2006/metadata/properties"/>
    <ds:schemaRef ds:uri="http://schemas.microsoft.com/office/infopath/2007/PartnerControls"/>
    <ds:schemaRef ds:uri="e527fcaa-b7e8-4a2a-9a71-42ea5a45471b"/>
    <ds:schemaRef ds:uri="c4674ad3-868a-42bb-ab90-14e31a260913"/>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92</TotalTime>
  <Pages>20</Pages>
  <Words>5234</Words>
  <Characters>29838</Characters>
  <Application>Microsoft Office Word</Application>
  <DocSecurity>0</DocSecurity>
  <Lines>248</Lines>
  <Paragraphs>70</Paragraphs>
  <ScaleCrop>false</ScaleCrop>
  <Manager/>
  <Company/>
  <LinksUpToDate>false</LinksUpToDate>
  <CharactersWithSpaces>35002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Choice Policy / Version 1.0</dc:title>
  <dc:subject/>
  <dc:creator>Adams Nicola (07G) Thurrock CCG</dc:creator>
  <cp:keywords/>
  <dc:description/>
  <cp:lastModifiedBy>ROBERTS, Steff (NHS ESSEX ICB - 99F)</cp:lastModifiedBy>
  <cp:revision>39</cp:revision>
  <cp:lastPrinted>2026-03-16T14:59:00Z</cp:lastPrinted>
  <dcterms:created xsi:type="dcterms:W3CDTF">2026-03-18T15:19:00Z</dcterms:created>
  <dcterms:modified xsi:type="dcterms:W3CDTF">2026-06-18T09:02:00Z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0x010100501C1255F61D3D40BEE77404D0C71F7A</vt:lpwstr>
  </property>
</Properties>
</file>